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2CD1" w14:textId="4529D9EE" w:rsidR="00EE190C" w:rsidRPr="00375737" w:rsidRDefault="00124827" w:rsidP="00EE190C">
      <w:pPr>
        <w:rPr>
          <w:rFonts w:ascii="BankGothic Md BT" w:hAnsi="BankGothic Md BT"/>
          <w:color w:val="E97132" w:themeColor="accent2"/>
        </w:rPr>
      </w:pPr>
      <w:r w:rsidRPr="00375737">
        <w:rPr>
          <w:noProof/>
          <w:color w:val="E97132" w:themeColor="accent2"/>
        </w:rPr>
        <w:drawing>
          <wp:anchor distT="0" distB="0" distL="114300" distR="114300" simplePos="0" relativeHeight="251672576" behindDoc="0" locked="0" layoutInCell="1" allowOverlap="1" wp14:anchorId="0737396C" wp14:editId="3B7433C4">
            <wp:simplePos x="0" y="0"/>
            <wp:positionH relativeFrom="margin">
              <wp:align>left</wp:align>
            </wp:positionH>
            <wp:positionV relativeFrom="paragraph">
              <wp:posOffset>-599008</wp:posOffset>
            </wp:positionV>
            <wp:extent cx="3962620" cy="396815"/>
            <wp:effectExtent l="0" t="0" r="0" b="3810"/>
            <wp:wrapNone/>
            <wp:docPr id="54410766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185" cy="40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BDE" w:rsidRPr="00375737">
        <w:rPr>
          <w:noProof/>
          <w:color w:val="E97132" w:themeColor="accent2"/>
        </w:rPr>
        <w:drawing>
          <wp:anchor distT="36576" distB="36576" distL="36576" distR="36576" simplePos="0" relativeHeight="251671552" behindDoc="0" locked="0" layoutInCell="1" allowOverlap="1" wp14:anchorId="4E85383C" wp14:editId="42356296">
            <wp:simplePos x="0" y="0"/>
            <wp:positionH relativeFrom="margin">
              <wp:posOffset>6166856</wp:posOffset>
            </wp:positionH>
            <wp:positionV relativeFrom="paragraph">
              <wp:posOffset>-3175</wp:posOffset>
            </wp:positionV>
            <wp:extent cx="698740" cy="698740"/>
            <wp:effectExtent l="0" t="0" r="6350" b="6350"/>
            <wp:wrapNone/>
            <wp:docPr id="99841950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40" cy="69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375737">
        <w:rPr>
          <w:noProof/>
          <w:color w:val="E97132" w:themeColor="accent2"/>
        </w:rPr>
        <w:drawing>
          <wp:anchor distT="36576" distB="36576" distL="36576" distR="36576" simplePos="0" relativeHeight="251669504" behindDoc="0" locked="0" layoutInCell="1" allowOverlap="1" wp14:anchorId="08D3EE9D" wp14:editId="0C1FFCE4">
            <wp:simplePos x="0" y="0"/>
            <wp:positionH relativeFrom="margin">
              <wp:posOffset>5507726</wp:posOffset>
            </wp:positionH>
            <wp:positionV relativeFrom="paragraph">
              <wp:posOffset>13335</wp:posOffset>
            </wp:positionV>
            <wp:extent cx="664210" cy="664210"/>
            <wp:effectExtent l="0" t="0" r="2540" b="2540"/>
            <wp:wrapNone/>
            <wp:docPr id="172886859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375737">
        <w:rPr>
          <w:noProof/>
          <w:color w:val="E97132" w:themeColor="accent2"/>
        </w:rPr>
        <w:drawing>
          <wp:anchor distT="36576" distB="36576" distL="36576" distR="36576" simplePos="0" relativeHeight="251667456" behindDoc="0" locked="0" layoutInCell="1" allowOverlap="1" wp14:anchorId="0C2CB906" wp14:editId="7ECD4F72">
            <wp:simplePos x="0" y="0"/>
            <wp:positionH relativeFrom="column">
              <wp:posOffset>4906274</wp:posOffset>
            </wp:positionH>
            <wp:positionV relativeFrom="paragraph">
              <wp:posOffset>-1905</wp:posOffset>
            </wp:positionV>
            <wp:extent cx="559435" cy="661035"/>
            <wp:effectExtent l="0" t="0" r="0" b="5715"/>
            <wp:wrapNone/>
            <wp:docPr id="78784119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" r="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375737">
        <w:rPr>
          <w:noProof/>
          <w:color w:val="E97132" w:themeColor="accent2"/>
        </w:rPr>
        <w:drawing>
          <wp:anchor distT="36576" distB="36576" distL="36576" distR="36576" simplePos="0" relativeHeight="251665408" behindDoc="0" locked="0" layoutInCell="1" allowOverlap="1" wp14:anchorId="6556D734" wp14:editId="256DB583">
            <wp:simplePos x="0" y="0"/>
            <wp:positionH relativeFrom="column">
              <wp:posOffset>4184914</wp:posOffset>
            </wp:positionH>
            <wp:positionV relativeFrom="paragraph">
              <wp:posOffset>-5715</wp:posOffset>
            </wp:positionV>
            <wp:extent cx="664210" cy="664210"/>
            <wp:effectExtent l="0" t="0" r="2540" b="2540"/>
            <wp:wrapNone/>
            <wp:docPr id="211501799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90C" w:rsidRPr="00375737">
        <w:rPr>
          <w:rFonts w:ascii="BankGothic Md BT" w:hAnsi="BankGothic Md BT"/>
          <w:color w:val="E97132" w:themeColor="accent2"/>
        </w:rPr>
        <w:t>EXELTEC · DESCRIPTIF TECHNIQUE</w:t>
      </w:r>
      <w:r w:rsidRPr="00375737">
        <w:rPr>
          <w:color w:val="E97132" w:themeColor="accent2"/>
        </w:rPr>
        <w:t xml:space="preserve"> </w:t>
      </w:r>
    </w:p>
    <w:p w14:paraId="0F65309C" w14:textId="3E192572" w:rsidR="00EE190C" w:rsidRPr="00EE190C" w:rsidRDefault="00EE190C" w:rsidP="00EE190C">
      <w:pPr>
        <w:outlineLvl w:val="0"/>
        <w:rPr>
          <w:rFonts w:ascii="BankGothic Md BT" w:hAnsi="BankGothic Md BT"/>
          <w:kern w:val="36"/>
          <w:sz w:val="48"/>
          <w:szCs w:val="48"/>
        </w:rPr>
      </w:pPr>
      <w:r w:rsidRPr="00EE190C">
        <w:rPr>
          <w:rFonts w:ascii="BankGothic Md BT" w:hAnsi="BankGothic Md BT"/>
          <w:kern w:val="36"/>
          <w:sz w:val="48"/>
          <w:szCs w:val="48"/>
        </w:rPr>
        <w:t>Tubes radiants gaz</w:t>
      </w:r>
    </w:p>
    <w:p w14:paraId="355C880C" w14:textId="5E39435D" w:rsidR="00EE190C" w:rsidRPr="00EE190C" w:rsidRDefault="00EE190C" w:rsidP="00EE190C">
      <w:pPr>
        <w:jc w:val="both"/>
        <w:rPr>
          <w:rFonts w:ascii="Calibri" w:hAnsi="Calibri" w:cs="Calibri"/>
          <w:sz w:val="36"/>
          <w:szCs w:val="36"/>
        </w:rPr>
      </w:pPr>
      <w:r w:rsidRPr="00EE190C">
        <w:rPr>
          <w:rFonts w:ascii="Calibri" w:hAnsi="Calibri" w:cs="Calibri"/>
          <w:sz w:val="36"/>
          <w:szCs w:val="36"/>
        </w:rPr>
        <w:t xml:space="preserve">Modèles </w:t>
      </w:r>
      <w:r w:rsidR="00686112">
        <w:rPr>
          <w:rFonts w:ascii="Calibri" w:hAnsi="Calibri" w:cs="Calibri"/>
          <w:sz w:val="36"/>
          <w:szCs w:val="36"/>
        </w:rPr>
        <w:t>linéaires</w:t>
      </w:r>
      <w:r w:rsidRPr="00EE190C">
        <w:rPr>
          <w:rFonts w:ascii="Calibri" w:hAnsi="Calibri" w:cs="Calibri"/>
          <w:sz w:val="36"/>
          <w:szCs w:val="36"/>
        </w:rPr>
        <w:t xml:space="preserve"> haut rendement SX</w:t>
      </w:r>
      <w:r w:rsidR="00686112">
        <w:rPr>
          <w:rFonts w:ascii="Calibri" w:hAnsi="Calibri" w:cs="Calibri"/>
          <w:sz w:val="36"/>
          <w:szCs w:val="36"/>
        </w:rPr>
        <w:t>L+</w:t>
      </w:r>
      <w:r w:rsidRPr="00EE190C">
        <w:rPr>
          <w:rFonts w:ascii="Calibri" w:hAnsi="Calibri" w:cs="Calibri"/>
          <w:sz w:val="36"/>
          <w:szCs w:val="36"/>
        </w:rPr>
        <w:t xml:space="preserve"> </w:t>
      </w:r>
    </w:p>
    <w:p w14:paraId="665F266A" w14:textId="7ACE3567" w:rsidR="00EE190C" w:rsidRDefault="00EE190C" w:rsidP="00EE190C">
      <w:pPr>
        <w:jc w:val="both"/>
        <w:rPr>
          <w:rFonts w:ascii="Calibri" w:hAnsi="Calibri"/>
          <w:sz w:val="18"/>
          <w:szCs w:val="18"/>
        </w:rPr>
      </w:pPr>
      <w:r w:rsidRPr="00375737">
        <w:rPr>
          <w:rFonts w:ascii="Calibri" w:hAnsi="Calibri"/>
          <w:noProof/>
          <w:color w:val="E97132" w:themeColor="accent2"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881BBF" wp14:editId="44F81B52">
                <wp:simplePos x="0" y="0"/>
                <wp:positionH relativeFrom="margin">
                  <wp:align>left</wp:align>
                </wp:positionH>
                <wp:positionV relativeFrom="paragraph">
                  <wp:posOffset>93176</wp:posOffset>
                </wp:positionV>
                <wp:extent cx="5210355" cy="25508"/>
                <wp:effectExtent l="0" t="0" r="28575" b="31750"/>
                <wp:wrapNone/>
                <wp:docPr id="178748206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0355" cy="2550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3FE9E" id="Connecteur droit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35pt" to="410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pJyqwEAAKkDAAAOAAAAZHJzL2Uyb0RvYy54bWysU01v1DAQvSPxHyzf2WSDgqposz20gguC&#10;io/eXWe8seQvjc0m++8ZO2mKACFR9WI5M/PezHueHK5na9gZMGrver7f1ZyBk37Q7tTz79/ev7ni&#10;LCbhBmG8g55fIPLr4+tXhyl00PjRmwGQEYmL3RR6PqYUuqqKcgQr4s4HcJRUHq1I9ImnakAxEbs1&#10;VVPX76rJ4xDQS4iRordLkh8Lv1Ig02elIiRmek6zpXJiOR/yWR0PojuhCKOW6xjiGVNYoR013ahu&#10;RRLsB+o/qKyW6KNXaSe9rbxSWkLRQGr29W9qvo4iQNFC5sSw2RRfjlZ+Ot+4OyQbphC7GO4wq5gV&#10;WqaMDvf0pkUXTcrmYttlsw3mxCQF22Zfv21bziTlmratr7Kt1UKT6QLG9AG8ZfnSc6NdViU6cf4Y&#10;01L6WJLDxuXY0zzlli4GluQXUEwP1HeZrKwK3BhkZ0GPLKQEl5p1AuOoOsOUNmYD1qX7P4FrfYZC&#10;WaP/AW+I0tm7tIGtdh7/1j3N+3VktdQ/OrDozhY8+OFSXqpYQ/tQPF53Ny/cr98F/vSHHX8CAAD/&#10;/wMAUEsDBBQABgAIAAAAIQBB8OHz3AAAAAYBAAAPAAAAZHJzL2Rvd25yZXYueG1sTI/NTsMwEITv&#10;SLyDtUjcqE35aZTGqRAiJ5CqhiCubrxNIuJ1FLtp+vYsJ3qcmdXMt9lmdr2YcAydJw33CwUCqfa2&#10;o0ZD9VncJSBCNGRN7wk1nDHAJr++ykxq/Yl2OJWxEVxCITUa2hiHVMpQt+hMWPgBibODH52JLMdG&#10;2tGcuNz1cqnUs3SmI15ozYCvLdY/5dFpeHuX22pXfZy3U/lQmKpov9XXrPXtzfyyBhFxjv/H8IfP&#10;6JAz094fyQbRa+BHIruPKxCcJkv1BGLPRrICmWfyEj//BQAA//8DAFBLAQItABQABgAIAAAAIQC2&#10;gziS/gAAAOEBAAATAAAAAAAAAAAAAAAAAAAAAABbQ29udGVudF9UeXBlc10ueG1sUEsBAi0AFAAG&#10;AAgAAAAhADj9If/WAAAAlAEAAAsAAAAAAAAAAAAAAAAALwEAAF9yZWxzLy5yZWxzUEsBAi0AFAAG&#10;AAgAAAAhAHiKknKrAQAAqQMAAA4AAAAAAAAAAAAAAAAALgIAAGRycy9lMm9Eb2MueG1sUEsBAi0A&#10;FAAGAAgAAAAhAEHw4fPcAAAABgEAAA8AAAAAAAAAAAAAAAAABQQAAGRycy9kb3ducmV2LnhtbFBL&#10;BQYAAAAABAAEAPMAAAAOBQAAAAA=&#10;" strokecolor="#e97132 [3205]" strokeweight="1pt">
                <v:stroke joinstyle="miter"/>
                <w10:wrap anchorx="margin"/>
              </v:line>
            </w:pict>
          </mc:Fallback>
        </mc:AlternateContent>
      </w:r>
    </w:p>
    <w:p w14:paraId="6F081F35" w14:textId="6CE23A3A" w:rsidR="00EE190C" w:rsidRDefault="00EE190C" w:rsidP="00EE190C">
      <w:pPr>
        <w:jc w:val="both"/>
        <w:rPr>
          <w:rFonts w:ascii="Calibri" w:hAnsi="Calibri"/>
          <w:sz w:val="18"/>
          <w:szCs w:val="18"/>
        </w:rPr>
      </w:pPr>
    </w:p>
    <w:p w14:paraId="787FB212" w14:textId="5750BB02" w:rsidR="00EE190C" w:rsidRDefault="00B67906" w:rsidP="00EE190C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2547FF" wp14:editId="6C56838A">
                <wp:simplePos x="0" y="0"/>
                <wp:positionH relativeFrom="column">
                  <wp:posOffset>62865</wp:posOffset>
                </wp:positionH>
                <wp:positionV relativeFrom="paragraph">
                  <wp:posOffset>167005</wp:posOffset>
                </wp:positionV>
                <wp:extent cx="4469130" cy="1146810"/>
                <wp:effectExtent l="0" t="0" r="7620" b="0"/>
                <wp:wrapSquare wrapText="bothSides"/>
                <wp:docPr id="5600254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FB349" w14:textId="298B9FA2" w:rsidR="00EE190C" w:rsidRPr="00375737" w:rsidRDefault="00EE190C" w:rsidP="00EE190C">
                            <w:pPr>
                              <w:jc w:val="center"/>
                              <w:rPr>
                                <w:rFonts w:ascii="BankGothic Md BT" w:hAnsi="BankGothic Md BT"/>
                                <w:color w:val="E97132" w:themeColor="accent2"/>
                                <w:sz w:val="32"/>
                                <w:szCs w:val="32"/>
                              </w:rPr>
                            </w:pPr>
                            <w:r w:rsidRPr="00375737">
                              <w:rPr>
                                <w:rFonts w:ascii="BankGothic Md BT" w:hAnsi="BankGothic Md BT"/>
                                <w:i/>
                                <w:iCs/>
                                <w:color w:val="E97132" w:themeColor="accent2"/>
                                <w:sz w:val="32"/>
                                <w:szCs w:val="32"/>
                              </w:rPr>
                              <w:t>Gamme SX</w:t>
                            </w:r>
                            <w:r w:rsidR="00C623CB" w:rsidRPr="00375737">
                              <w:rPr>
                                <w:rFonts w:ascii="BankGothic Md BT" w:hAnsi="BankGothic Md BT"/>
                                <w:i/>
                                <w:iCs/>
                                <w:color w:val="E97132" w:themeColor="accent2"/>
                                <w:sz w:val="32"/>
                                <w:szCs w:val="32"/>
                              </w:rPr>
                              <w:t>L</w:t>
                            </w:r>
                            <w:r w:rsidRPr="00375737">
                              <w:rPr>
                                <w:rFonts w:ascii="BankGothic Md BT" w:hAnsi="BankGothic Md BT"/>
                                <w:i/>
                                <w:iCs/>
                                <w:color w:val="E97132" w:themeColor="accent2"/>
                                <w:sz w:val="32"/>
                                <w:szCs w:val="32"/>
                              </w:rPr>
                              <w:t>+</w:t>
                            </w:r>
                          </w:p>
                          <w:p w14:paraId="725DAF6A" w14:textId="41EEF7D6" w:rsidR="00EE190C" w:rsidRDefault="00EE190C" w:rsidP="00EE190C">
                            <w:pPr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Tubes radiants gaz modèles </w:t>
                            </w:r>
                            <w:r w:rsidR="00686112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linéaire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s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haut rendement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avec </w:t>
                            </w:r>
                            <w:r w:rsidRPr="00AD04A8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plaques de confinement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turbulateurs</w:t>
                            </w:r>
                            <w:proofErr w:type="spellEnd"/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supports d’accrochage indépendants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réflecteurs en aluminium poli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 en forme de M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raccordement des tubes par brides </w:t>
                            </w:r>
                            <w:proofErr w:type="spellStart"/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Torcite</w:t>
                            </w:r>
                            <w:proofErr w:type="spellEnd"/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 étanches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tubes émetteurs en acier calorisé et système d’absorption de la dilatation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F1F62AF" w14:textId="77777777" w:rsidR="00EE190C" w:rsidRDefault="00EE190C" w:rsidP="00EE19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547F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.95pt;margin-top:13.15pt;width:351.9pt;height:9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lx9AEAAMsDAAAOAAAAZHJzL2Uyb0RvYy54bWysU8tu2zAQvBfoPxC817Jc1U0Ey0HqwEWB&#10;9AGk/QCKoiSiFJdd0pbcr++ScpwgvRXVgeByydmd2dHmZhoMOyr0GmzF88WSM2UlNNp2Ff/xff/m&#10;ijMfhG2EAasqflKe32xfv9qMrlQr6ME0ChmBWF+OruJ9CK7MMi97NQi/AKcsJVvAQQQKscsaFCOh&#10;DyZbLZfrbARsHIJU3tPp3Zzk24TftkqGr23rVWCm4tRbSCumtY5rtt2IskPhei3PbYh/6GIQ2lLR&#10;C9SdCIIdUP8FNWiJ4KENCwlDBm2rpUociE2+fMHmoRdOJS4kjncXmfz/g5Vfjg/uG7IwfYCJBphI&#10;eHcP8qdnFna9sJ26RYSxV6KhwnmULBudL89Po9S+9BGkHj9DQ0MWhwAJaGpxiKoQT0boNIDTRXQ1&#10;BSbpsCjW1/lbSknK5XmxvsrTWDJRPj536MNHBQOLm4ojTTXBi+O9D7EdUT5eidU8GN3stTEpwK7e&#10;GWRHQQ7Ypy8xeHHN2HjZQnw2I8aTxDNSm0mGqZ4oGfnW0JyIMcLsKPoDaNMD/uZsJDdV3P86CFSc&#10;mU+WVLvOiyLaLwXFu/crCvB5pn6eEVYSVMUDZ/N2F2bLHhzqrqdK85ws3JLSrU4aPHV17psck6Q5&#10;uzta8nmcbj39g9s/AAAA//8DAFBLAwQUAAYACAAAACEAiM8kst0AAAAIAQAADwAAAGRycy9kb3du&#10;cmV2LnhtbEyPQU+DQBCF7yb+h82YeDF2aatQKEujJhqvrf0BA0yByM4Sdlvov3c86fHNe3nvm3w3&#10;215daPSdYwPLRQSKuHJ1x42B49f74waUD8g19o7JwJU87Irbmxyz2k28p8shNEpK2GdooA1hyLT2&#10;VUsW/cINxOKd3GgxiBwbXY84Sbnt9SqKYm2xY1locaC3lqrvw9kaOH1OD8/pVH6EY7J/il+xS0p3&#10;Neb+bn7Zggo0h78w/OILOhTCVLoz1171BtJUggZW8RqU2MlynYAq5RDFKegi1/8fKH4AAAD//wMA&#10;UEsBAi0AFAAGAAgAAAAhALaDOJL+AAAA4QEAABMAAAAAAAAAAAAAAAAAAAAAAFtDb250ZW50X1R5&#10;cGVzXS54bWxQSwECLQAUAAYACAAAACEAOP0h/9YAAACUAQAACwAAAAAAAAAAAAAAAAAvAQAAX3Jl&#10;bHMvLnJlbHNQSwECLQAUAAYACAAAACEAcp0pcfQBAADLAwAADgAAAAAAAAAAAAAAAAAuAgAAZHJz&#10;L2Uyb0RvYy54bWxQSwECLQAUAAYACAAAACEAiM8kst0AAAAIAQAADwAAAAAAAAAAAAAAAABOBAAA&#10;ZHJzL2Rvd25yZXYueG1sUEsFBgAAAAAEAAQA8wAAAFgFAAAAAA==&#10;" stroked="f">
                <v:textbox>
                  <w:txbxContent>
                    <w:p w14:paraId="210FB349" w14:textId="298B9FA2" w:rsidR="00EE190C" w:rsidRPr="00375737" w:rsidRDefault="00EE190C" w:rsidP="00EE190C">
                      <w:pPr>
                        <w:jc w:val="center"/>
                        <w:rPr>
                          <w:rFonts w:ascii="BankGothic Md BT" w:hAnsi="BankGothic Md BT"/>
                          <w:color w:val="E97132" w:themeColor="accent2"/>
                          <w:sz w:val="32"/>
                          <w:szCs w:val="32"/>
                        </w:rPr>
                      </w:pPr>
                      <w:r w:rsidRPr="00375737">
                        <w:rPr>
                          <w:rFonts w:ascii="BankGothic Md BT" w:hAnsi="BankGothic Md BT"/>
                          <w:i/>
                          <w:iCs/>
                          <w:color w:val="E97132" w:themeColor="accent2"/>
                          <w:sz w:val="32"/>
                          <w:szCs w:val="32"/>
                        </w:rPr>
                        <w:t>Gamme SX</w:t>
                      </w:r>
                      <w:r w:rsidR="00C623CB" w:rsidRPr="00375737">
                        <w:rPr>
                          <w:rFonts w:ascii="BankGothic Md BT" w:hAnsi="BankGothic Md BT"/>
                          <w:i/>
                          <w:iCs/>
                          <w:color w:val="E97132" w:themeColor="accent2"/>
                          <w:sz w:val="32"/>
                          <w:szCs w:val="32"/>
                        </w:rPr>
                        <w:t>L</w:t>
                      </w:r>
                      <w:r w:rsidRPr="00375737">
                        <w:rPr>
                          <w:rFonts w:ascii="BankGothic Md BT" w:hAnsi="BankGothic Md BT"/>
                          <w:i/>
                          <w:iCs/>
                          <w:color w:val="E97132" w:themeColor="accent2"/>
                          <w:sz w:val="32"/>
                          <w:szCs w:val="32"/>
                        </w:rPr>
                        <w:t>+</w:t>
                      </w:r>
                    </w:p>
                    <w:p w14:paraId="725DAF6A" w14:textId="41EEF7D6" w:rsidR="00EE190C" w:rsidRDefault="00EE190C" w:rsidP="00EE190C">
                      <w:pPr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Tubes radiants gaz modèles </w:t>
                      </w:r>
                      <w:r w:rsidR="00686112">
                        <w:rPr>
                          <w:rFonts w:ascii="Calibri" w:hAnsi="Calibri"/>
                          <w:sz w:val="20"/>
                          <w:szCs w:val="20"/>
                        </w:rPr>
                        <w:t>linéaire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s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haut rendement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avec </w:t>
                      </w:r>
                      <w:r w:rsidRPr="00AD04A8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plaques de confinement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turbulateurs</w:t>
                      </w:r>
                      <w:proofErr w:type="spellEnd"/>
                      <w:r w:rsidR="00B67906">
                        <w:rPr>
                          <w:rFonts w:ascii="Calibri" w:hAnsi="Calibri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supports d’accrochage indépendants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réflecteurs en aluminium poli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 en forme de M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raccordement des tubes par brides </w:t>
                      </w:r>
                      <w:proofErr w:type="spellStart"/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Torcite</w:t>
                      </w:r>
                      <w:proofErr w:type="spellEnd"/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 étanches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tubes émetteurs en acier calorisé et système d’absorption de la dilatation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F1F62AF" w14:textId="77777777" w:rsidR="00EE190C" w:rsidRDefault="00EE190C" w:rsidP="00EE190C"/>
                  </w:txbxContent>
                </v:textbox>
                <w10:wrap type="square"/>
              </v:shape>
            </w:pict>
          </mc:Fallback>
        </mc:AlternateContent>
      </w:r>
    </w:p>
    <w:p w14:paraId="2D3A9253" w14:textId="3DE0A201" w:rsidR="00EE190C" w:rsidRDefault="00686112" w:rsidP="00EE190C">
      <w:pPr>
        <w:jc w:val="both"/>
        <w:rPr>
          <w:rFonts w:ascii="Calibri" w:hAnsi="Calibri"/>
          <w:noProof/>
        </w:rPr>
      </w:pPr>
      <w:r>
        <w:rPr>
          <w:noProof/>
        </w:rPr>
        <w:drawing>
          <wp:anchor distT="36576" distB="36576" distL="36576" distR="36576" simplePos="0" relativeHeight="251674624" behindDoc="0" locked="0" layoutInCell="1" allowOverlap="1" wp14:anchorId="06DC13AD" wp14:editId="2E3DB47D">
            <wp:simplePos x="0" y="0"/>
            <wp:positionH relativeFrom="column">
              <wp:posOffset>4481741</wp:posOffset>
            </wp:positionH>
            <wp:positionV relativeFrom="paragraph">
              <wp:posOffset>99060</wp:posOffset>
            </wp:positionV>
            <wp:extent cx="2360806" cy="1087361"/>
            <wp:effectExtent l="0" t="95250" r="0" b="113030"/>
            <wp:wrapNone/>
            <wp:docPr id="151027805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3" b="18452"/>
                    <a:stretch>
                      <a:fillRect/>
                    </a:stretch>
                  </pic:blipFill>
                  <pic:spPr bwMode="auto">
                    <a:xfrm rot="21272367" flipH="1">
                      <a:off x="0" y="0"/>
                      <a:ext cx="2360806" cy="108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D360E" w14:textId="3E16410F" w:rsidR="00B67906" w:rsidRDefault="00B67906" w:rsidP="00EE190C">
      <w:pPr>
        <w:jc w:val="both"/>
        <w:rPr>
          <w:rFonts w:ascii="Calibri" w:hAnsi="Calibri"/>
          <w:noProof/>
        </w:rPr>
      </w:pPr>
    </w:p>
    <w:p w14:paraId="686638E3" w14:textId="6F92EF21" w:rsidR="00B67906" w:rsidRDefault="00B67906" w:rsidP="00EE190C">
      <w:pPr>
        <w:jc w:val="both"/>
        <w:rPr>
          <w:rFonts w:ascii="Calibri" w:hAnsi="Calibri"/>
          <w:noProof/>
        </w:rPr>
      </w:pPr>
    </w:p>
    <w:p w14:paraId="283439EE" w14:textId="3E123C57" w:rsidR="00B67906" w:rsidRDefault="00B67906" w:rsidP="00EE190C">
      <w:pPr>
        <w:jc w:val="both"/>
        <w:rPr>
          <w:rFonts w:ascii="Calibri" w:hAnsi="Calibri"/>
          <w:noProof/>
        </w:rPr>
      </w:pPr>
    </w:p>
    <w:p w14:paraId="550CF4A7" w14:textId="77777777" w:rsidR="00B67906" w:rsidRDefault="00B67906" w:rsidP="00EE190C">
      <w:pPr>
        <w:jc w:val="both"/>
        <w:rPr>
          <w:rFonts w:ascii="Calibri" w:hAnsi="Calibri"/>
          <w:noProof/>
        </w:rPr>
      </w:pPr>
    </w:p>
    <w:p w14:paraId="7C49ABB0" w14:textId="77777777" w:rsidR="00B67906" w:rsidRPr="00EE190C" w:rsidRDefault="00B67906" w:rsidP="00EE190C">
      <w:pPr>
        <w:jc w:val="both"/>
        <w:rPr>
          <w:rFonts w:ascii="Calibri" w:hAnsi="Calibri"/>
          <w:sz w:val="18"/>
          <w:szCs w:val="18"/>
        </w:rPr>
      </w:pPr>
    </w:p>
    <w:p w14:paraId="3B0C5737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637AA362" w14:textId="3540734C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624C817F" w14:textId="77777777" w:rsidR="00543BB7" w:rsidRDefault="00543BB7" w:rsidP="00EE190C">
      <w:pPr>
        <w:jc w:val="both"/>
        <w:rPr>
          <w:rFonts w:ascii="Calibri" w:hAnsi="Calibri"/>
          <w:sz w:val="20"/>
          <w:szCs w:val="20"/>
        </w:rPr>
      </w:pPr>
    </w:p>
    <w:tbl>
      <w:tblPr>
        <w:tblW w:w="6140" w:type="dxa"/>
        <w:tblInd w:w="14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2380"/>
        <w:gridCol w:w="2120"/>
      </w:tblGrid>
      <w:tr w:rsidR="00EE190C" w14:paraId="53485C00" w14:textId="77777777" w:rsidTr="00375737">
        <w:trPr>
          <w:trHeight w:val="4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72DACE99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8"/>
                <w:szCs w:val="28"/>
              </w:rPr>
            </w:pPr>
            <w:r>
              <w:rPr>
                <w:rFonts w:ascii="BankGothic Md BT" w:hAnsi="BankGothic Md BT"/>
                <w:color w:val="FFFFFF"/>
                <w:sz w:val="28"/>
                <w:szCs w:val="28"/>
              </w:rPr>
              <w:t>Modèles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4F34C848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2"/>
                <w:szCs w:val="22"/>
              </w:rPr>
            </w:pPr>
            <w:r>
              <w:rPr>
                <w:rFonts w:ascii="BankGothic Md BT" w:hAnsi="BankGothic Md BT"/>
                <w:color w:val="FFFFFF"/>
                <w:sz w:val="22"/>
                <w:szCs w:val="22"/>
              </w:rPr>
              <w:t xml:space="preserve">Débit Calorifique Nominal (kW </w:t>
            </w:r>
            <w:proofErr w:type="spellStart"/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pci</w:t>
            </w:r>
            <w:proofErr w:type="spellEnd"/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36F44002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2"/>
                <w:szCs w:val="22"/>
              </w:rPr>
            </w:pPr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Dimensions (mm)</w:t>
            </w:r>
          </w:p>
        </w:tc>
      </w:tr>
      <w:tr w:rsidR="00EE190C" w14:paraId="4BBDC30C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4C96" w14:textId="75A6D02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+15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4BCCCF23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357D8" w14:textId="3B6CA60F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  <w:r w:rsidR="00C623C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664</w:t>
            </w:r>
          </w:p>
        </w:tc>
      </w:tr>
      <w:tr w:rsidR="00EE190C" w14:paraId="315C0C20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9F08B6F" w14:textId="1B8C653A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+25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2C2206A1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0651825" w14:textId="522B50CF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="00C623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950</w:t>
            </w:r>
          </w:p>
        </w:tc>
      </w:tr>
      <w:tr w:rsidR="00EE190C" w14:paraId="1B6F86FB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9E272" w14:textId="74141BB0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+30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3480F972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E4F92" w14:textId="62C7FA5A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  <w:r w:rsidR="00C623C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881</w:t>
            </w:r>
          </w:p>
        </w:tc>
      </w:tr>
      <w:tr w:rsidR="00EE190C" w14:paraId="4C9C5F01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9A1717" w14:textId="427722ED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+35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527480E8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31,1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A821CEC" w14:textId="2CDC30C7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="00C623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881</w:t>
            </w:r>
          </w:p>
        </w:tc>
      </w:tr>
      <w:tr w:rsidR="00EE190C" w14:paraId="079E6D34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577F7" w14:textId="6F83BED4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+45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550806F6" w14:textId="1CD070A5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38</w:t>
            </w:r>
            <w:r w:rsidR="00C623CB">
              <w:rPr>
                <w:rFonts w:ascii="Calibri" w:hAnsi="Calibri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FE91B" w14:textId="16481338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C623C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866</w:t>
            </w:r>
          </w:p>
        </w:tc>
      </w:tr>
      <w:tr w:rsidR="00EE190C" w14:paraId="2D61AA35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3D026CD" w14:textId="2C3CB7F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+50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436D682E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42,3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428127" w14:textId="66160569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  <w:r w:rsidR="00C623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866</w:t>
            </w:r>
          </w:p>
        </w:tc>
      </w:tr>
      <w:tr w:rsidR="00EE190C" w14:paraId="64D54046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B8275" w14:textId="306A366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SX</w:t>
            </w:r>
            <w:r w:rsidR="00686112">
              <w:rPr>
                <w:rFonts w:ascii="Calibri" w:hAnsi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+60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185875C2" w14:textId="17E8074C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</w:t>
            </w:r>
            <w:r w:rsidR="00C623CB">
              <w:rPr>
                <w:rFonts w:ascii="Calibri" w:hAnsi="Calibri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A503F" w14:textId="75DA8494" w:rsidR="00EE190C" w:rsidRDefault="00BA0432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  <w:r w:rsidR="00C623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836</w:t>
            </w:r>
          </w:p>
        </w:tc>
      </w:tr>
    </w:tbl>
    <w:p w14:paraId="640FB0E4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9021782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04CB9A7" w14:textId="565995D2" w:rsidR="00EE190C" w:rsidRPr="00375737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375737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Conception et performances</w:t>
      </w:r>
    </w:p>
    <w:p w14:paraId="4A7B3D4B" w14:textId="77777777" w:rsidR="00EE190C" w:rsidRPr="00E35E40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4EB4960" w14:textId="6442430A" w:rsidR="00EE190C" w:rsidRPr="00E35E40" w:rsidRDefault="00EE190C" w:rsidP="00EE190C">
      <w:pPr>
        <w:numPr>
          <w:ilvl w:val="0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  <w:u w:val="single"/>
        </w:rPr>
        <w:t xml:space="preserve">Eléments </w:t>
      </w:r>
      <w:r w:rsidR="00124827" w:rsidRPr="00E35E40">
        <w:rPr>
          <w:rFonts w:ascii="Calibri" w:hAnsi="Calibri"/>
          <w:sz w:val="20"/>
          <w:szCs w:val="20"/>
          <w:u w:val="single"/>
        </w:rPr>
        <w:t>fonctionnels</w:t>
      </w:r>
      <w:r w:rsidR="00124827" w:rsidRPr="00E35E40">
        <w:rPr>
          <w:rFonts w:ascii="Calibri" w:hAnsi="Calibri"/>
          <w:sz w:val="20"/>
          <w:szCs w:val="20"/>
        </w:rPr>
        <w:t xml:space="preserve"> :</w:t>
      </w:r>
    </w:p>
    <w:p w14:paraId="016ACDA2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Ensemble brûleur : </w:t>
      </w:r>
    </w:p>
    <w:p w14:paraId="795F66BC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Brûleur atmosphérique en fonte d’acier avec accroche flamme en acier inoxydable et dispositif de centrage de la flamme</w:t>
      </w:r>
    </w:p>
    <w:p w14:paraId="5BF544EA" w14:textId="2F17AB9A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Electrovanne gaz à double clapet avec ouverture progressive, ensemble combiné électrovanne-boîtier électronique</w:t>
      </w:r>
    </w:p>
    <w:p w14:paraId="6B61ABBB" w14:textId="77777777" w:rsidR="00EE190C" w:rsidRPr="00AD04A8" w:rsidRDefault="00EE190C" w:rsidP="00EE190C">
      <w:pPr>
        <w:numPr>
          <w:ilvl w:val="2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>Système exclusif de capot monté sur charnières avec accès direct aux éléments fonctionnels</w:t>
      </w:r>
    </w:p>
    <w:p w14:paraId="1D062643" w14:textId="77777777" w:rsidR="00EE190C" w:rsidRPr="00AD04A8" w:rsidRDefault="00EE190C" w:rsidP="00EE190C">
      <w:pPr>
        <w:numPr>
          <w:ilvl w:val="2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>Prises de pression pour réglages et mises en service pré-équipées avec raccord laiton et tube silicone pour le réglage des pressions gaz et de la dépression brûleur</w:t>
      </w:r>
    </w:p>
    <w:p w14:paraId="0FF69F9A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Voyants lumineux situés sur la face inférieure de l’appareil</w:t>
      </w:r>
    </w:p>
    <w:p w14:paraId="03558076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Ensemble brûleur indépendant facilitant le démontage pour les opérations de maintenance      </w:t>
      </w:r>
    </w:p>
    <w:p w14:paraId="022DD41C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Extraction des produits de combustion :</w:t>
      </w:r>
    </w:p>
    <w:p w14:paraId="332EF437" w14:textId="11F03B4E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Ensemble extracteur orientable et indépendant facilitant le démontage</w:t>
      </w:r>
    </w:p>
    <w:p w14:paraId="2B5BA4BF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Groupe moto ventilateur externe avec turbine et hélice de refroidissement intégrées pour un meilleur refroidissement (fiabilité) et une accessibilité aisée</w:t>
      </w:r>
    </w:p>
    <w:p w14:paraId="75CBF7CB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Moteur spécial à graissage et refroidissement permanents avec roulements à billes pour fortes charges</w:t>
      </w:r>
    </w:p>
    <w:p w14:paraId="2CEE20BB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66A74AF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D0B33BD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31CCD585" w14:textId="04BC0E31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367DE4C7" w14:textId="77777777" w:rsidR="00124827" w:rsidRDefault="00124827" w:rsidP="00EE190C">
      <w:pPr>
        <w:jc w:val="both"/>
        <w:rPr>
          <w:rFonts w:ascii="Calibri" w:hAnsi="Calibri"/>
          <w:sz w:val="20"/>
          <w:szCs w:val="20"/>
        </w:rPr>
      </w:pPr>
    </w:p>
    <w:p w14:paraId="5DD548B9" w14:textId="77777777" w:rsidR="00543BB7" w:rsidRDefault="00543BB7" w:rsidP="00EE190C">
      <w:pPr>
        <w:jc w:val="both"/>
        <w:rPr>
          <w:rFonts w:ascii="Calibri" w:hAnsi="Calibri"/>
          <w:sz w:val="20"/>
          <w:szCs w:val="20"/>
        </w:rPr>
      </w:pPr>
    </w:p>
    <w:p w14:paraId="0D75A69C" w14:textId="77777777" w:rsidR="00EE190C" w:rsidRPr="00E35E40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585630B" w14:textId="16BE77BE" w:rsidR="00EE190C" w:rsidRPr="00E35E40" w:rsidRDefault="00EE190C" w:rsidP="00EE190C">
      <w:pPr>
        <w:numPr>
          <w:ilvl w:val="0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  <w:u w:val="single"/>
        </w:rPr>
        <w:t>Partie émettrice</w:t>
      </w:r>
      <w:r w:rsidR="00124827">
        <w:rPr>
          <w:rFonts w:ascii="Calibri" w:hAnsi="Calibri"/>
          <w:sz w:val="20"/>
          <w:szCs w:val="20"/>
          <w:u w:val="single"/>
        </w:rPr>
        <w:t xml:space="preserve"> </w:t>
      </w:r>
      <w:r w:rsidRPr="00E35E40">
        <w:rPr>
          <w:rFonts w:ascii="Calibri" w:hAnsi="Calibri"/>
          <w:sz w:val="20"/>
          <w:szCs w:val="20"/>
        </w:rPr>
        <w:t>:</w:t>
      </w:r>
      <w:r w:rsidR="00CA6BDE" w:rsidRPr="00CA6BDE">
        <w:t xml:space="preserve"> </w:t>
      </w:r>
    </w:p>
    <w:p w14:paraId="19359BED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Tubes émetteurs :</w:t>
      </w:r>
    </w:p>
    <w:p w14:paraId="38ABA18C" w14:textId="5210CF8E" w:rsidR="00EE190C" w:rsidRPr="00124827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>Ø76,2mm pour les modèles 15-25 et Ø101,6mm pour les modèles 30-</w:t>
      </w:r>
      <w:r w:rsidR="00124827" w:rsidRPr="00124827">
        <w:rPr>
          <w:rFonts w:ascii="Calibri" w:hAnsi="Calibri"/>
          <w:sz w:val="20"/>
          <w:szCs w:val="20"/>
        </w:rPr>
        <w:t>6</w:t>
      </w:r>
      <w:r w:rsidRPr="00124827">
        <w:rPr>
          <w:rFonts w:ascii="Calibri" w:hAnsi="Calibri"/>
          <w:sz w:val="20"/>
          <w:szCs w:val="20"/>
        </w:rPr>
        <w:t xml:space="preserve">0 </w:t>
      </w:r>
    </w:p>
    <w:p w14:paraId="2B615885" w14:textId="69F75B2B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Pour tous les </w:t>
      </w:r>
      <w:r w:rsidRPr="00E35E40">
        <w:rPr>
          <w:rFonts w:ascii="Calibri" w:hAnsi="Calibri"/>
          <w:sz w:val="20"/>
          <w:szCs w:val="20"/>
        </w:rPr>
        <w:t>modèles</w:t>
      </w:r>
      <w:r w:rsidR="00124827">
        <w:rPr>
          <w:rFonts w:ascii="Calibri" w:hAnsi="Calibri"/>
          <w:sz w:val="20"/>
          <w:szCs w:val="20"/>
        </w:rPr>
        <w:t xml:space="preserve"> </w:t>
      </w:r>
      <w:r w:rsidRPr="00E35E40">
        <w:rPr>
          <w:rFonts w:ascii="Calibri" w:hAnsi="Calibri"/>
          <w:sz w:val="20"/>
          <w:szCs w:val="20"/>
        </w:rPr>
        <w:t xml:space="preserve">: </w:t>
      </w:r>
      <w:r w:rsidRPr="00AD04A8">
        <w:rPr>
          <w:rFonts w:ascii="Calibri" w:hAnsi="Calibri"/>
          <w:b/>
          <w:sz w:val="20"/>
          <w:szCs w:val="20"/>
        </w:rPr>
        <w:t>tubes émetteurs 100% calorisés anticorrosion et haut rendement de rayonnement (émissivité supérieure à 30% par rapport à un tube classique)</w:t>
      </w:r>
    </w:p>
    <w:p w14:paraId="508DA5EE" w14:textId="35558E37" w:rsidR="00EE190C" w:rsidRPr="00FF3E7B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proofErr w:type="spellStart"/>
      <w:r w:rsidRPr="00FF3E7B">
        <w:rPr>
          <w:rFonts w:ascii="Calibri" w:hAnsi="Calibri"/>
          <w:b/>
          <w:sz w:val="20"/>
          <w:szCs w:val="20"/>
        </w:rPr>
        <w:t>Turbulateur</w:t>
      </w:r>
      <w:r>
        <w:rPr>
          <w:rFonts w:ascii="Calibri" w:hAnsi="Calibri"/>
          <w:b/>
          <w:sz w:val="20"/>
          <w:szCs w:val="20"/>
        </w:rPr>
        <w:t>s</w:t>
      </w:r>
      <w:proofErr w:type="spellEnd"/>
      <w:r w:rsidRPr="00FF3E7B">
        <w:rPr>
          <w:rFonts w:ascii="Calibri" w:hAnsi="Calibri"/>
          <w:b/>
          <w:sz w:val="20"/>
          <w:szCs w:val="20"/>
        </w:rPr>
        <w:t xml:space="preserve"> d’optimisation du rendement de combustion (modèles </w:t>
      </w:r>
      <w:r w:rsidR="00686112">
        <w:rPr>
          <w:rFonts w:ascii="Calibri" w:hAnsi="Calibri"/>
          <w:b/>
          <w:sz w:val="20"/>
          <w:szCs w:val="20"/>
        </w:rPr>
        <w:t xml:space="preserve">15, </w:t>
      </w:r>
      <w:r w:rsidRPr="00FF3E7B">
        <w:rPr>
          <w:rFonts w:ascii="Calibri" w:hAnsi="Calibri"/>
          <w:b/>
          <w:sz w:val="20"/>
          <w:szCs w:val="20"/>
        </w:rPr>
        <w:t xml:space="preserve">25, 30, 35, 45) </w:t>
      </w:r>
    </w:p>
    <w:p w14:paraId="65237D77" w14:textId="77777777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Raccordement des tubes aux éléments fonctionnels par des brides spéciales de type </w:t>
      </w:r>
      <w:proofErr w:type="spellStart"/>
      <w:r w:rsidRPr="00AD04A8">
        <w:rPr>
          <w:rFonts w:ascii="Calibri" w:hAnsi="Calibri"/>
          <w:b/>
          <w:sz w:val="20"/>
          <w:szCs w:val="20"/>
        </w:rPr>
        <w:t>Torcite</w:t>
      </w:r>
      <w:proofErr w:type="spellEnd"/>
      <w:r w:rsidRPr="00AD04A8">
        <w:rPr>
          <w:rFonts w:ascii="Calibri" w:hAnsi="Calibri"/>
          <w:b/>
          <w:sz w:val="20"/>
          <w:szCs w:val="20"/>
        </w:rPr>
        <w:t xml:space="preserve"> assurant une étanchéité permanente du réseau aéraulique interne de l’appareil</w:t>
      </w:r>
    </w:p>
    <w:p w14:paraId="1D912E8D" w14:textId="34F24E45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Réflecteurs en aluminium </w:t>
      </w:r>
      <w:r w:rsidR="00124827" w:rsidRPr="00AD04A8">
        <w:rPr>
          <w:rFonts w:ascii="Calibri" w:hAnsi="Calibri"/>
          <w:b/>
          <w:sz w:val="20"/>
          <w:szCs w:val="20"/>
        </w:rPr>
        <w:t xml:space="preserve">poli </w:t>
      </w:r>
      <w:r w:rsidR="00124827">
        <w:rPr>
          <w:rFonts w:ascii="Calibri" w:hAnsi="Calibri"/>
          <w:b/>
          <w:sz w:val="20"/>
          <w:szCs w:val="20"/>
        </w:rPr>
        <w:t xml:space="preserve">en forme de M </w:t>
      </w:r>
      <w:r w:rsidRPr="00AD04A8">
        <w:rPr>
          <w:rFonts w:ascii="Calibri" w:hAnsi="Calibri"/>
          <w:b/>
          <w:sz w:val="20"/>
          <w:szCs w:val="20"/>
        </w:rPr>
        <w:t>assurant un coefficient de réflexion de 97%</w:t>
      </w:r>
    </w:p>
    <w:p w14:paraId="65B39569" w14:textId="4CB633E8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Plaques spéciales de confinement des extrémités des réflecteurs (augmentation du rendement de rayonnement par l’augmentation de la partie utile rayonnée au dépend de la partie convective) </w:t>
      </w:r>
    </w:p>
    <w:p w14:paraId="79491CD7" w14:textId="74CFD45B" w:rsidR="00543BB7" w:rsidRPr="00EE7A77" w:rsidRDefault="00543BB7" w:rsidP="00543BB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E7A77">
        <w:rPr>
          <w:rFonts w:ascii="Calibri" w:hAnsi="Calibri"/>
          <w:sz w:val="20"/>
          <w:szCs w:val="20"/>
        </w:rPr>
        <w:t xml:space="preserve">Suspension directe sur les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 xml:space="preserve"> de suspension fournis avec l’appareil : SX</w:t>
      </w:r>
      <w:r w:rsidR="00686112">
        <w:rPr>
          <w:rFonts w:ascii="Calibri" w:hAnsi="Calibri"/>
          <w:sz w:val="20"/>
          <w:szCs w:val="20"/>
        </w:rPr>
        <w:t>L+</w:t>
      </w:r>
      <w:r w:rsidRPr="00EE7A77">
        <w:rPr>
          <w:rFonts w:ascii="Calibri" w:hAnsi="Calibri"/>
          <w:sz w:val="20"/>
          <w:szCs w:val="20"/>
        </w:rPr>
        <w:t>15</w:t>
      </w:r>
      <w:r w:rsidR="00EE7A77" w:rsidRPr="00EE7A77">
        <w:rPr>
          <w:rFonts w:ascii="Calibri" w:hAnsi="Calibri"/>
          <w:sz w:val="20"/>
          <w:szCs w:val="20"/>
        </w:rPr>
        <w:t>-35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686112">
        <w:rPr>
          <w:rFonts w:ascii="Calibri" w:hAnsi="Calibri"/>
          <w:sz w:val="20"/>
          <w:szCs w:val="20"/>
        </w:rPr>
        <w:t>4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>, SX</w:t>
      </w:r>
      <w:r w:rsidR="00686112">
        <w:rPr>
          <w:rFonts w:ascii="Calibri" w:hAnsi="Calibri"/>
          <w:sz w:val="20"/>
          <w:szCs w:val="20"/>
        </w:rPr>
        <w:t>L+</w:t>
      </w:r>
      <w:r w:rsidR="00EE7A77" w:rsidRPr="00EE7A77">
        <w:rPr>
          <w:rFonts w:ascii="Calibri" w:hAnsi="Calibri"/>
          <w:sz w:val="20"/>
          <w:szCs w:val="20"/>
        </w:rPr>
        <w:t>40-50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686112">
        <w:rPr>
          <w:rFonts w:ascii="Calibri" w:hAnsi="Calibri"/>
          <w:sz w:val="20"/>
          <w:szCs w:val="20"/>
        </w:rPr>
        <w:t>5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>, SX</w:t>
      </w:r>
      <w:r w:rsidR="00686112">
        <w:rPr>
          <w:rFonts w:ascii="Calibri" w:hAnsi="Calibri"/>
          <w:sz w:val="20"/>
          <w:szCs w:val="20"/>
        </w:rPr>
        <w:t>L+</w:t>
      </w:r>
      <w:r w:rsidR="00EE7A77" w:rsidRPr="00EE7A77">
        <w:rPr>
          <w:rFonts w:ascii="Calibri" w:hAnsi="Calibri"/>
          <w:sz w:val="20"/>
          <w:szCs w:val="20"/>
        </w:rPr>
        <w:t>60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686112">
        <w:rPr>
          <w:rFonts w:ascii="Calibri" w:hAnsi="Calibri"/>
          <w:sz w:val="20"/>
          <w:szCs w:val="20"/>
        </w:rPr>
        <w:t>7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</w:p>
    <w:p w14:paraId="5114C0C8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Système d’absorption de la dilatation des tubes émetteurs et coulissement des réflecteurs afin d‘éviter toute déformation de la structure       </w:t>
      </w:r>
    </w:p>
    <w:p w14:paraId="08383058" w14:textId="77777777" w:rsidR="00EE190C" w:rsidRPr="00375737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375737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Systèmes de sécurité</w:t>
      </w:r>
    </w:p>
    <w:p w14:paraId="6EA359D0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Allumage électronique direct et contrôle de flamme permanent par électrode d’ionisation</w:t>
      </w:r>
    </w:p>
    <w:p w14:paraId="0BB96319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Contrôle permanent du réseau aéraulique d’extraction par un pressostat différentiel</w:t>
      </w:r>
    </w:p>
    <w:p w14:paraId="621B6429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FDE6DEF" w14:textId="77777777" w:rsidR="00EE190C" w:rsidRPr="00375737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375737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Schémas de principe à insérer dans les CCTP</w:t>
      </w:r>
    </w:p>
    <w:p w14:paraId="149E96EA" w14:textId="4B613326" w:rsidR="00124827" w:rsidRPr="0038522A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38522A">
        <w:rPr>
          <w:rFonts w:ascii="Calibri" w:hAnsi="Calibri"/>
          <w:sz w:val="20"/>
          <w:szCs w:val="20"/>
        </w:rPr>
        <w:t>Schémas dimensionnels (voir notice SX</w:t>
      </w:r>
      <w:r w:rsidR="00686112">
        <w:rPr>
          <w:rFonts w:ascii="Calibri" w:hAnsi="Calibri"/>
          <w:sz w:val="20"/>
          <w:szCs w:val="20"/>
        </w:rPr>
        <w:t>L</w:t>
      </w:r>
      <w:r w:rsidRPr="0038522A">
        <w:rPr>
          <w:rFonts w:ascii="Calibri" w:hAnsi="Calibri"/>
          <w:sz w:val="20"/>
          <w:szCs w:val="20"/>
        </w:rPr>
        <w:t>+ Section II page 4)</w:t>
      </w:r>
    </w:p>
    <w:p w14:paraId="23104DCD" w14:textId="04E3C0BD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>Accrochage et suspension (voir notice SX</w:t>
      </w:r>
      <w:r w:rsidR="00686112">
        <w:rPr>
          <w:rFonts w:ascii="Calibri" w:hAnsi="Calibri"/>
          <w:sz w:val="20"/>
          <w:szCs w:val="20"/>
        </w:rPr>
        <w:t>L+</w:t>
      </w:r>
      <w:r w:rsidRPr="0041715D">
        <w:rPr>
          <w:rFonts w:ascii="Calibri" w:hAnsi="Calibri"/>
          <w:sz w:val="20"/>
          <w:szCs w:val="20"/>
        </w:rPr>
        <w:t xml:space="preserve"> Section IV.2 pages 11-14) </w:t>
      </w:r>
    </w:p>
    <w:p w14:paraId="43856D31" w14:textId="77777777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 xml:space="preserve">Raccordement gaz et kit gaz : (voir notice section IV.3.2. </w:t>
      </w:r>
      <w:proofErr w:type="gramStart"/>
      <w:r w:rsidRPr="0041715D">
        <w:rPr>
          <w:rFonts w:ascii="Calibri" w:hAnsi="Calibri"/>
          <w:sz w:val="20"/>
          <w:szCs w:val="20"/>
        </w:rPr>
        <w:t>pages</w:t>
      </w:r>
      <w:proofErr w:type="gramEnd"/>
      <w:r w:rsidRPr="0041715D">
        <w:rPr>
          <w:rFonts w:ascii="Calibri" w:hAnsi="Calibri"/>
          <w:sz w:val="20"/>
          <w:szCs w:val="20"/>
        </w:rPr>
        <w:t xml:space="preserve"> 14-15, schéma 18) </w:t>
      </w:r>
    </w:p>
    <w:p w14:paraId="70BAC1B8" w14:textId="77777777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>Evacuation des produits de combustion (voir notice section IV.6 pages 20-25)</w:t>
      </w:r>
    </w:p>
    <w:p w14:paraId="33BC5BF6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5C20BE90" w14:textId="77777777" w:rsidR="00EE190C" w:rsidRPr="00375737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375737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Autres gammes disponibles</w:t>
      </w:r>
    </w:p>
    <w:p w14:paraId="6F3B7E1D" w14:textId="019850D2" w:rsidR="00EE190C" w:rsidRPr="00124827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 xml:space="preserve">Tubes radiants </w:t>
      </w:r>
      <w:r w:rsidR="00686112">
        <w:rPr>
          <w:rFonts w:ascii="Calibri" w:hAnsi="Calibri"/>
          <w:sz w:val="20"/>
          <w:szCs w:val="20"/>
        </w:rPr>
        <w:t>épingle</w:t>
      </w:r>
      <w:r w:rsidRPr="00124827">
        <w:rPr>
          <w:rFonts w:ascii="Calibri" w:hAnsi="Calibri"/>
          <w:sz w:val="20"/>
          <w:szCs w:val="20"/>
        </w:rPr>
        <w:t>s : SX</w:t>
      </w:r>
      <w:r w:rsidR="00686112">
        <w:rPr>
          <w:rFonts w:ascii="Calibri" w:hAnsi="Calibri"/>
          <w:sz w:val="20"/>
          <w:szCs w:val="20"/>
        </w:rPr>
        <w:t>+</w:t>
      </w:r>
      <w:r w:rsidRPr="00124827">
        <w:rPr>
          <w:rFonts w:ascii="Calibri" w:hAnsi="Calibri"/>
          <w:sz w:val="20"/>
          <w:szCs w:val="20"/>
        </w:rPr>
        <w:t xml:space="preserve"> </w:t>
      </w:r>
    </w:p>
    <w:p w14:paraId="58621CA3" w14:textId="2C3ECBB6" w:rsidR="00EE190C" w:rsidRPr="00124827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 xml:space="preserve">Tubes radiants Hauts Rendements de </w:t>
      </w:r>
      <w:r w:rsidR="00124827" w:rsidRPr="00124827">
        <w:rPr>
          <w:rFonts w:ascii="Calibri" w:hAnsi="Calibri"/>
          <w:sz w:val="20"/>
          <w:szCs w:val="20"/>
        </w:rPr>
        <w:t>rayonnement :</w:t>
      </w:r>
      <w:r w:rsidRPr="00124827">
        <w:rPr>
          <w:rFonts w:ascii="Calibri" w:hAnsi="Calibri"/>
          <w:sz w:val="20"/>
          <w:szCs w:val="20"/>
        </w:rPr>
        <w:t xml:space="preserve"> SXA,</w:t>
      </w:r>
      <w:r w:rsidR="00B67906">
        <w:rPr>
          <w:rFonts w:ascii="Calibri" w:hAnsi="Calibri"/>
          <w:sz w:val="20"/>
          <w:szCs w:val="20"/>
        </w:rPr>
        <w:t xml:space="preserve"> </w:t>
      </w:r>
      <w:r w:rsidRPr="00124827">
        <w:rPr>
          <w:rFonts w:ascii="Calibri" w:hAnsi="Calibri"/>
          <w:sz w:val="20"/>
          <w:szCs w:val="20"/>
        </w:rPr>
        <w:t xml:space="preserve">SXLA </w:t>
      </w:r>
    </w:p>
    <w:p w14:paraId="46F18E07" w14:textId="77777777" w:rsidR="00EE190C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>Système</w:t>
      </w:r>
      <w:r w:rsidRPr="00E35E40">
        <w:rPr>
          <w:rFonts w:ascii="Calibri" w:hAnsi="Calibri"/>
          <w:sz w:val="20"/>
          <w:szCs w:val="20"/>
        </w:rPr>
        <w:t xml:space="preserve"> en ar</w:t>
      </w:r>
      <w:r>
        <w:rPr>
          <w:rFonts w:ascii="Calibri" w:hAnsi="Calibri"/>
          <w:sz w:val="20"/>
          <w:szCs w:val="20"/>
        </w:rPr>
        <w:t>rête (évacuation centralisée) SX+ HB et S</w:t>
      </w:r>
      <w:r w:rsidRPr="00E35E40">
        <w:rPr>
          <w:rFonts w:ascii="Calibri" w:hAnsi="Calibri"/>
          <w:sz w:val="20"/>
          <w:szCs w:val="20"/>
        </w:rPr>
        <w:t>XL</w:t>
      </w:r>
      <w:r>
        <w:rPr>
          <w:rFonts w:ascii="Calibri" w:hAnsi="Calibri"/>
          <w:sz w:val="20"/>
          <w:szCs w:val="20"/>
        </w:rPr>
        <w:t>+ HB</w:t>
      </w:r>
    </w:p>
    <w:p w14:paraId="3BE28333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085BCDF8" w14:textId="77777777" w:rsidR="00EE190C" w:rsidRDefault="00EE190C"/>
    <w:sectPr w:rsidR="00EE190C" w:rsidSect="00E872AD">
      <w:headerReference w:type="default" r:id="rId13"/>
      <w:footerReference w:type="default" r:id="rId14"/>
      <w:pgSz w:w="11906" w:h="16838"/>
      <w:pgMar w:top="1418" w:right="851" w:bottom="1418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B1E0B" w14:textId="77777777" w:rsidR="006E3F70" w:rsidRDefault="006E3F70">
      <w:r>
        <w:separator/>
      </w:r>
    </w:p>
  </w:endnote>
  <w:endnote w:type="continuationSeparator" w:id="0">
    <w:p w14:paraId="1B635C61" w14:textId="77777777" w:rsidR="006E3F70" w:rsidRDefault="006E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nkGothic Md BT">
    <w:panose1 w:val="020B0807020203060204"/>
    <w:charset w:val="00"/>
    <w:family w:val="swiss"/>
    <w:pitch w:val="variable"/>
    <w:sig w:usb0="800000AF" w:usb1="1000204A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5E69" w14:textId="04D684DE" w:rsidR="00E872AD" w:rsidRDefault="00E872AD" w:rsidP="00E872AD">
    <w:pPr>
      <w:pStyle w:val="Pieddepage"/>
      <w:jc w:val="center"/>
    </w:pPr>
  </w:p>
  <w:p w14:paraId="781DA3E5" w14:textId="72FDC319" w:rsidR="00E872AD" w:rsidRPr="000D4B7A" w:rsidRDefault="00E872AD" w:rsidP="00E872AD">
    <w:pPr>
      <w:pStyle w:val="Pieddepage"/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Descriptif CCTP</w:t>
    </w:r>
    <w:r w:rsidRPr="000D4B7A">
      <w:rPr>
        <w:rFonts w:ascii="Calibri" w:hAnsi="Calibri" w:cs="Calibri"/>
        <w:sz w:val="22"/>
        <w:szCs w:val="22"/>
      </w:rPr>
      <w:t xml:space="preserve"> – </w:t>
    </w:r>
    <w:r>
      <w:rPr>
        <w:rFonts w:ascii="Calibri" w:hAnsi="Calibri" w:cs="Calibri"/>
        <w:sz w:val="22"/>
        <w:szCs w:val="22"/>
      </w:rPr>
      <w:t>Octo</w:t>
    </w:r>
    <w:r w:rsidRPr="000D4B7A">
      <w:rPr>
        <w:rFonts w:ascii="Calibri" w:hAnsi="Calibri" w:cs="Calibri"/>
        <w:sz w:val="22"/>
        <w:szCs w:val="22"/>
      </w:rPr>
      <w:t>bre 2026</w:t>
    </w:r>
  </w:p>
  <w:p w14:paraId="242586AC" w14:textId="77777777" w:rsidR="00E872AD" w:rsidRDefault="00E872AD" w:rsidP="00E872AD">
    <w:pPr>
      <w:pStyle w:val="Pieddepage"/>
      <w:jc w:val="center"/>
      <w:rPr>
        <w:rFonts w:ascii="Calibri" w:hAnsi="Calibri" w:cs="Calibri"/>
        <w:sz w:val="22"/>
        <w:szCs w:val="22"/>
      </w:rPr>
    </w:pPr>
    <w:r w:rsidRPr="000D4B7A">
      <w:rPr>
        <w:rFonts w:ascii="Calibri" w:hAnsi="Calibri" w:cs="Calibri"/>
        <w:sz w:val="22"/>
        <w:szCs w:val="22"/>
      </w:rPr>
      <w:t xml:space="preserve">EXELTEC - 215 Rue Marie Curie - Technoparc Saône Vallée Est - 01390 CIVRIEUX </w:t>
    </w:r>
  </w:p>
  <w:p w14:paraId="4EAC3F56" w14:textId="1EA06BEE" w:rsidR="00E872AD" w:rsidRPr="000D4B7A" w:rsidRDefault="00E872AD" w:rsidP="00E872AD">
    <w:pPr>
      <w:pStyle w:val="Pieddepage"/>
      <w:jc w:val="center"/>
      <w:rPr>
        <w:rFonts w:ascii="Calibri" w:hAnsi="Calibri" w:cs="Calibri"/>
        <w:sz w:val="22"/>
        <w:szCs w:val="22"/>
      </w:rPr>
    </w:pPr>
    <w:hyperlink r:id="rId1" w:history="1">
      <w:r w:rsidRPr="002C3E0D">
        <w:rPr>
          <w:rStyle w:val="Lienhypertexte"/>
          <w:rFonts w:ascii="Calibri" w:hAnsi="Calibri" w:cs="Calibri"/>
          <w:sz w:val="22"/>
          <w:szCs w:val="22"/>
        </w:rPr>
        <w:t>www.exeltec.fr</w:t>
      </w:r>
    </w:hyperlink>
    <w:r w:rsidRPr="000D4B7A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 xml:space="preserve">– </w:t>
    </w:r>
    <w:hyperlink r:id="rId2" w:history="1">
      <w:r w:rsidRPr="00C273C8">
        <w:rPr>
          <w:rStyle w:val="Lienhypertexte"/>
          <w:rFonts w:ascii="Calibri" w:hAnsi="Calibri" w:cs="Calibri"/>
          <w:sz w:val="22"/>
          <w:szCs w:val="22"/>
        </w:rPr>
        <w:t>info@exeltec.fr</w:t>
      </w:r>
    </w:hyperlink>
    <w:r>
      <w:rPr>
        <w:rFonts w:ascii="Calibri" w:hAnsi="Calibri" w:cs="Calibri"/>
        <w:sz w:val="22"/>
        <w:szCs w:val="22"/>
      </w:rPr>
      <w:t xml:space="preserve"> – 04 78 82 01 01</w:t>
    </w:r>
  </w:p>
  <w:p w14:paraId="4106B1B1" w14:textId="34B3E2AF" w:rsidR="00E872AD" w:rsidRDefault="00E872AD" w:rsidP="00E872AD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5BAC09" wp14:editId="14052D0B">
          <wp:simplePos x="0" y="0"/>
          <wp:positionH relativeFrom="margin">
            <wp:posOffset>4938505</wp:posOffset>
          </wp:positionH>
          <wp:positionV relativeFrom="paragraph">
            <wp:posOffset>14605</wp:posOffset>
          </wp:positionV>
          <wp:extent cx="1717481" cy="171988"/>
          <wp:effectExtent l="0" t="0" r="0" b="0"/>
          <wp:wrapNone/>
          <wp:docPr id="131413015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481" cy="17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CEE652" w14:textId="38DB98E9" w:rsidR="00E872AD" w:rsidRDefault="00E872AD" w:rsidP="00E872AD">
    <w:pPr>
      <w:pStyle w:val="Pieddepage"/>
      <w:tabs>
        <w:tab w:val="clear" w:pos="4536"/>
        <w:tab w:val="clear" w:pos="9072"/>
        <w:tab w:val="left" w:pos="36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1BA2D" w14:textId="77777777" w:rsidR="006E3F70" w:rsidRDefault="006E3F70">
      <w:r>
        <w:separator/>
      </w:r>
    </w:p>
  </w:footnote>
  <w:footnote w:type="continuationSeparator" w:id="0">
    <w:p w14:paraId="7AC92832" w14:textId="77777777" w:rsidR="006E3F70" w:rsidRDefault="006E3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33DE" w14:textId="77777777" w:rsidR="00EE190C" w:rsidRPr="00CD79BE" w:rsidRDefault="00EE190C" w:rsidP="00CD79BE">
    <w:pPr>
      <w:pStyle w:val="En-tte"/>
      <w:jc w:val="right"/>
      <w:rPr>
        <w:sz w:val="16"/>
        <w:szCs w:val="16"/>
      </w:rPr>
    </w:pPr>
    <w:r>
      <w:rPr>
        <w:sz w:val="16"/>
        <w:szCs w:val="16"/>
      </w:rPr>
      <w:t>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B6094"/>
    <w:multiLevelType w:val="hybridMultilevel"/>
    <w:tmpl w:val="250CBD7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24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0C"/>
    <w:rsid w:val="00015A80"/>
    <w:rsid w:val="00124827"/>
    <w:rsid w:val="001B5675"/>
    <w:rsid w:val="003341BC"/>
    <w:rsid w:val="00375737"/>
    <w:rsid w:val="00543BB7"/>
    <w:rsid w:val="00686112"/>
    <w:rsid w:val="00687400"/>
    <w:rsid w:val="006E3F70"/>
    <w:rsid w:val="00857C25"/>
    <w:rsid w:val="008A6595"/>
    <w:rsid w:val="00B67906"/>
    <w:rsid w:val="00BA0432"/>
    <w:rsid w:val="00BD7BE3"/>
    <w:rsid w:val="00C623CB"/>
    <w:rsid w:val="00CA6BDE"/>
    <w:rsid w:val="00E0690A"/>
    <w:rsid w:val="00E872AD"/>
    <w:rsid w:val="00EE190C"/>
    <w:rsid w:val="00EE7A77"/>
    <w:rsid w:val="00F5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1779"/>
  <w15:chartTrackingRefBased/>
  <w15:docId w15:val="{7DB242F9-C3EA-4DD2-A37B-78604D78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90C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E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19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19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19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19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19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19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19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19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19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19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19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19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19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19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19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190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EE19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E190C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872A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72AD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E872A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7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exeltec.fr" TargetMode="External"/><Relationship Id="rId1" Type="http://schemas.openxmlformats.org/officeDocument/2006/relationships/hyperlink" Target="http://www.exeltec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2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Bayle</dc:creator>
  <cp:keywords/>
  <dc:description/>
  <cp:lastModifiedBy>Thomas Bayle</cp:lastModifiedBy>
  <cp:revision>11</cp:revision>
  <dcterms:created xsi:type="dcterms:W3CDTF">2026-10-15T09:05:00Z</dcterms:created>
  <dcterms:modified xsi:type="dcterms:W3CDTF">2026-10-28T13:15:00Z</dcterms:modified>
</cp:coreProperties>
</file>