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52CD1" w14:textId="4529D9EE" w:rsidR="00EE190C" w:rsidRPr="00EE190C" w:rsidRDefault="00124827" w:rsidP="00EE190C">
      <w:pPr>
        <w:rPr>
          <w:rFonts w:ascii="BankGothic Md BT" w:hAnsi="BankGothic Md BT"/>
          <w:color w:val="FF9900"/>
        </w:rPr>
      </w:pPr>
      <w:r w:rsidRPr="0083057A">
        <w:rPr>
          <w:noProof/>
          <w:color w:val="E97132" w:themeColor="accent2"/>
        </w:rPr>
        <w:drawing>
          <wp:anchor distT="0" distB="0" distL="114300" distR="114300" simplePos="0" relativeHeight="251672576" behindDoc="0" locked="0" layoutInCell="1" allowOverlap="1" wp14:anchorId="0737396C" wp14:editId="3B7433C4">
            <wp:simplePos x="0" y="0"/>
            <wp:positionH relativeFrom="margin">
              <wp:align>left</wp:align>
            </wp:positionH>
            <wp:positionV relativeFrom="paragraph">
              <wp:posOffset>-599008</wp:posOffset>
            </wp:positionV>
            <wp:extent cx="3962620" cy="396815"/>
            <wp:effectExtent l="0" t="0" r="0" b="3810"/>
            <wp:wrapNone/>
            <wp:docPr id="54410766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185" cy="40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BDE" w:rsidRPr="0083057A">
        <w:rPr>
          <w:noProof/>
          <w:color w:val="E97132" w:themeColor="accent2"/>
        </w:rPr>
        <w:drawing>
          <wp:anchor distT="36576" distB="36576" distL="36576" distR="36576" simplePos="0" relativeHeight="251671552" behindDoc="0" locked="0" layoutInCell="1" allowOverlap="1" wp14:anchorId="4E85383C" wp14:editId="42356296">
            <wp:simplePos x="0" y="0"/>
            <wp:positionH relativeFrom="margin">
              <wp:posOffset>6166856</wp:posOffset>
            </wp:positionH>
            <wp:positionV relativeFrom="paragraph">
              <wp:posOffset>-3175</wp:posOffset>
            </wp:positionV>
            <wp:extent cx="698740" cy="698740"/>
            <wp:effectExtent l="0" t="0" r="6350" b="6350"/>
            <wp:wrapNone/>
            <wp:docPr id="99841950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40" cy="69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83057A">
        <w:rPr>
          <w:noProof/>
          <w:color w:val="E97132" w:themeColor="accent2"/>
        </w:rPr>
        <w:drawing>
          <wp:anchor distT="36576" distB="36576" distL="36576" distR="36576" simplePos="0" relativeHeight="251669504" behindDoc="0" locked="0" layoutInCell="1" allowOverlap="1" wp14:anchorId="08D3EE9D" wp14:editId="0C1FFCE4">
            <wp:simplePos x="0" y="0"/>
            <wp:positionH relativeFrom="margin">
              <wp:posOffset>5507726</wp:posOffset>
            </wp:positionH>
            <wp:positionV relativeFrom="paragraph">
              <wp:posOffset>13335</wp:posOffset>
            </wp:positionV>
            <wp:extent cx="664210" cy="664210"/>
            <wp:effectExtent l="0" t="0" r="2540" b="2540"/>
            <wp:wrapNone/>
            <wp:docPr id="172886859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83057A">
        <w:rPr>
          <w:noProof/>
          <w:color w:val="E97132" w:themeColor="accent2"/>
        </w:rPr>
        <w:drawing>
          <wp:anchor distT="36576" distB="36576" distL="36576" distR="36576" simplePos="0" relativeHeight="251667456" behindDoc="0" locked="0" layoutInCell="1" allowOverlap="1" wp14:anchorId="0C2CB906" wp14:editId="7ECD4F72">
            <wp:simplePos x="0" y="0"/>
            <wp:positionH relativeFrom="column">
              <wp:posOffset>4906274</wp:posOffset>
            </wp:positionH>
            <wp:positionV relativeFrom="paragraph">
              <wp:posOffset>-1905</wp:posOffset>
            </wp:positionV>
            <wp:extent cx="559435" cy="661035"/>
            <wp:effectExtent l="0" t="0" r="0" b="5715"/>
            <wp:wrapNone/>
            <wp:docPr id="78784119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" r="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BDE" w:rsidRPr="0083057A">
        <w:rPr>
          <w:noProof/>
          <w:color w:val="E97132" w:themeColor="accent2"/>
        </w:rPr>
        <w:drawing>
          <wp:anchor distT="36576" distB="36576" distL="36576" distR="36576" simplePos="0" relativeHeight="251665408" behindDoc="0" locked="0" layoutInCell="1" allowOverlap="1" wp14:anchorId="6556D734" wp14:editId="256DB583">
            <wp:simplePos x="0" y="0"/>
            <wp:positionH relativeFrom="column">
              <wp:posOffset>4184914</wp:posOffset>
            </wp:positionH>
            <wp:positionV relativeFrom="paragraph">
              <wp:posOffset>-5715</wp:posOffset>
            </wp:positionV>
            <wp:extent cx="664210" cy="664210"/>
            <wp:effectExtent l="0" t="0" r="2540" b="2540"/>
            <wp:wrapNone/>
            <wp:docPr id="211501799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90C" w:rsidRPr="0083057A">
        <w:rPr>
          <w:rFonts w:ascii="BankGothic Md BT" w:hAnsi="BankGothic Md BT"/>
          <w:color w:val="E97132" w:themeColor="accent2"/>
        </w:rPr>
        <w:t>EXELTEC · DESCRIPTIF TECHNIQUE</w:t>
      </w:r>
      <w:r w:rsidRPr="0083057A">
        <w:rPr>
          <w:color w:val="E97132" w:themeColor="accent2"/>
        </w:rPr>
        <w:t xml:space="preserve"> </w:t>
      </w:r>
    </w:p>
    <w:p w14:paraId="0F65309C" w14:textId="3E192572" w:rsidR="00EE190C" w:rsidRPr="00EE190C" w:rsidRDefault="00EE190C" w:rsidP="00EE190C">
      <w:pPr>
        <w:outlineLvl w:val="0"/>
        <w:rPr>
          <w:rFonts w:ascii="BankGothic Md BT" w:hAnsi="BankGothic Md BT"/>
          <w:kern w:val="36"/>
          <w:sz w:val="48"/>
          <w:szCs w:val="48"/>
        </w:rPr>
      </w:pPr>
      <w:r w:rsidRPr="00EE190C">
        <w:rPr>
          <w:rFonts w:ascii="BankGothic Md BT" w:hAnsi="BankGothic Md BT"/>
          <w:kern w:val="36"/>
          <w:sz w:val="48"/>
          <w:szCs w:val="48"/>
        </w:rPr>
        <w:t>Tubes radiants gaz</w:t>
      </w:r>
    </w:p>
    <w:p w14:paraId="355C880C" w14:textId="3C8607F6" w:rsidR="00EE190C" w:rsidRPr="00EE190C" w:rsidRDefault="00EE190C" w:rsidP="00EE190C">
      <w:pPr>
        <w:jc w:val="both"/>
        <w:rPr>
          <w:rFonts w:ascii="Calibri" w:hAnsi="Calibri" w:cs="Calibri"/>
          <w:sz w:val="36"/>
          <w:szCs w:val="36"/>
        </w:rPr>
      </w:pPr>
      <w:r w:rsidRPr="00EE190C">
        <w:rPr>
          <w:rFonts w:ascii="Calibri" w:hAnsi="Calibri" w:cs="Calibri"/>
          <w:sz w:val="36"/>
          <w:szCs w:val="36"/>
        </w:rPr>
        <w:t xml:space="preserve">Modèles épingles haut rendement SX+ </w:t>
      </w:r>
    </w:p>
    <w:p w14:paraId="665F266A" w14:textId="7ACE3567" w:rsidR="00EE190C" w:rsidRDefault="00EE190C" w:rsidP="00EE190C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  <w:sz w:val="18"/>
          <w:szCs w:val="18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881BBF" wp14:editId="1D30F927">
                <wp:simplePos x="0" y="0"/>
                <wp:positionH relativeFrom="margin">
                  <wp:align>left</wp:align>
                </wp:positionH>
                <wp:positionV relativeFrom="paragraph">
                  <wp:posOffset>93176</wp:posOffset>
                </wp:positionV>
                <wp:extent cx="5210355" cy="25508"/>
                <wp:effectExtent l="0" t="0" r="28575" b="31750"/>
                <wp:wrapNone/>
                <wp:docPr id="178748206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10355" cy="2550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AB7E73" id="Connecteur droit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35pt" to="410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" strokecolor="#e97132 [3205]" strokeweight="1pt">
                <v:stroke joinstyle="miter"/>
                <w10:wrap anchorx="margin"/>
              </v:line>
            </w:pict>
          </mc:Fallback>
        </mc:AlternateContent>
      </w:r>
    </w:p>
    <w:p w14:paraId="6F081F35" w14:textId="47486100" w:rsidR="00EE190C" w:rsidRDefault="00EE190C" w:rsidP="00EE190C">
      <w:pPr>
        <w:jc w:val="both"/>
        <w:rPr>
          <w:rFonts w:ascii="Calibri" w:hAnsi="Calibri"/>
          <w:sz w:val="18"/>
          <w:szCs w:val="18"/>
        </w:rPr>
      </w:pPr>
    </w:p>
    <w:p w14:paraId="787FB212" w14:textId="6C027BE9" w:rsidR="00EE190C" w:rsidRDefault="00B67906" w:rsidP="00EE190C">
      <w:pPr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598E004F" wp14:editId="365892F4">
            <wp:simplePos x="0" y="0"/>
            <wp:positionH relativeFrom="column">
              <wp:posOffset>4230010</wp:posOffset>
            </wp:positionH>
            <wp:positionV relativeFrom="paragraph">
              <wp:posOffset>90877</wp:posOffset>
            </wp:positionV>
            <wp:extent cx="2613804" cy="1358424"/>
            <wp:effectExtent l="0" t="0" r="0" b="0"/>
            <wp:wrapNone/>
            <wp:docPr id="28535879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358793" name="Image 28535879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13804" cy="1358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2547FF" wp14:editId="4D9D20C5">
                <wp:simplePos x="0" y="0"/>
                <wp:positionH relativeFrom="column">
                  <wp:posOffset>62865</wp:posOffset>
                </wp:positionH>
                <wp:positionV relativeFrom="paragraph">
                  <wp:posOffset>167005</wp:posOffset>
                </wp:positionV>
                <wp:extent cx="4469130" cy="1146810"/>
                <wp:effectExtent l="0" t="0" r="7620" b="0"/>
                <wp:wrapSquare wrapText="bothSides"/>
                <wp:docPr id="5600254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1146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FB349" w14:textId="77777777" w:rsidR="00EE190C" w:rsidRPr="0083057A" w:rsidRDefault="00EE190C" w:rsidP="00EE190C">
                            <w:pPr>
                              <w:jc w:val="center"/>
                              <w:rPr>
                                <w:rFonts w:ascii="BankGothic Md BT" w:hAnsi="BankGothic Md BT"/>
                                <w:color w:val="E97132" w:themeColor="accent2"/>
                                <w:sz w:val="32"/>
                                <w:szCs w:val="32"/>
                              </w:rPr>
                            </w:pPr>
                            <w:r w:rsidRPr="0083057A">
                              <w:rPr>
                                <w:rFonts w:ascii="BankGothic Md BT" w:hAnsi="BankGothic Md BT"/>
                                <w:i/>
                                <w:iCs/>
                                <w:color w:val="E97132" w:themeColor="accent2"/>
                                <w:sz w:val="32"/>
                                <w:szCs w:val="32"/>
                              </w:rPr>
                              <w:t>Gamme SX+</w:t>
                            </w:r>
                          </w:p>
                          <w:p w14:paraId="725DAF6A" w14:textId="7BCC992D" w:rsidR="00EE190C" w:rsidRDefault="00EE190C" w:rsidP="00EE190C">
                            <w:pPr>
                              <w:jc w:val="both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Tubes radiants gaz modèles épingles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haut rendement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avec </w:t>
                            </w:r>
                            <w:r w:rsidRPr="00AD04A8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plaques de confinement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turbulateurs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,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réflecteur </w:t>
                            </w:r>
                            <w:r w:rsidR="004C2E5C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additionnel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sur le coude,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supports d’accrochage indépendants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réflecteurs en aluminium poli</w:t>
                            </w:r>
                            <w:r w:rsidR="00B67906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 en forme de M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raccordement des tubes par brides </w:t>
                            </w:r>
                            <w:proofErr w:type="spellStart"/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Torcite</w:t>
                            </w:r>
                            <w:proofErr w:type="spellEnd"/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 xml:space="preserve"> étanches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  <w:u w:val="single"/>
                              </w:rPr>
                              <w:t>tubes émetteurs en acier calorisé et système d’absorption de la dilatation</w:t>
                            </w:r>
                            <w:r w:rsidRPr="00E35E4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F1F62AF" w14:textId="77777777" w:rsidR="00EE190C" w:rsidRDefault="00EE190C" w:rsidP="00EE190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2547F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.95pt;margin-top:13.15pt;width:351.9pt;height:9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" stroked="f">
                <v:textbox>
                  <w:txbxContent>
                    <w:p w14:paraId="210FB349" w14:textId="77777777" w:rsidR="00EE190C" w:rsidRPr="0083057A" w:rsidRDefault="00EE190C" w:rsidP="00EE190C">
                      <w:pPr>
                        <w:jc w:val="center"/>
                        <w:rPr>
                          <w:rFonts w:ascii="BankGothic Md BT" w:hAnsi="BankGothic Md BT"/>
                          <w:color w:val="E97132" w:themeColor="accent2"/>
                          <w:sz w:val="32"/>
                          <w:szCs w:val="32"/>
                        </w:rPr>
                      </w:pPr>
                      <w:r w:rsidRPr="0083057A">
                        <w:rPr>
                          <w:rFonts w:ascii="BankGothic Md BT" w:hAnsi="BankGothic Md BT"/>
                          <w:i/>
                          <w:iCs/>
                          <w:color w:val="E97132" w:themeColor="accent2"/>
                          <w:sz w:val="32"/>
                          <w:szCs w:val="32"/>
                        </w:rPr>
                        <w:t>Gamme SX+</w:t>
                      </w:r>
                    </w:p>
                    <w:p w14:paraId="725DAF6A" w14:textId="7BCC992D" w:rsidR="00EE190C" w:rsidRDefault="00EE190C" w:rsidP="00EE190C">
                      <w:pPr>
                        <w:jc w:val="both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Tubes radiants gaz modèles épingles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haut rendement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avec </w:t>
                      </w:r>
                      <w:r w:rsidRPr="00AD04A8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plaques de confinement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turbulateurs</w:t>
                      </w:r>
                      <w:proofErr w:type="spellEnd"/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,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réflecteur </w:t>
                      </w:r>
                      <w:r w:rsidR="004C2E5C">
                        <w:rPr>
                          <w:rFonts w:ascii="Calibri" w:hAnsi="Calibri"/>
                          <w:sz w:val="20"/>
                          <w:szCs w:val="20"/>
                        </w:rPr>
                        <w:t>additionnel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sur le coude,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supports d’accrochage indépendants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réflecteurs en aluminium poli</w:t>
                      </w:r>
                      <w:r w:rsidR="00B67906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 en forme de M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raccordement des tubes par brides </w:t>
                      </w:r>
                      <w:proofErr w:type="spellStart"/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Torcite</w:t>
                      </w:r>
                      <w:proofErr w:type="spellEnd"/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 xml:space="preserve"> étanches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  <w:u w:val="single"/>
                        </w:rPr>
                        <w:t>tubes émetteurs en acier calorisé et système d’absorption de la dilatation</w:t>
                      </w:r>
                      <w:r w:rsidRPr="00E35E4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F1F62AF" w14:textId="77777777" w:rsidR="00EE190C" w:rsidRDefault="00EE190C" w:rsidP="00EE190C"/>
                  </w:txbxContent>
                </v:textbox>
                <w10:wrap type="square"/>
              </v:shape>
            </w:pict>
          </mc:Fallback>
        </mc:AlternateContent>
      </w:r>
    </w:p>
    <w:p w14:paraId="2D3A9253" w14:textId="67431C1A" w:rsidR="00EE190C" w:rsidRDefault="00EE190C" w:rsidP="00EE190C">
      <w:pPr>
        <w:jc w:val="both"/>
        <w:rPr>
          <w:rFonts w:ascii="Calibri" w:hAnsi="Calibri"/>
          <w:noProof/>
        </w:rPr>
      </w:pPr>
    </w:p>
    <w:p w14:paraId="31AD360E" w14:textId="797A830D" w:rsidR="00B67906" w:rsidRDefault="00B67906" w:rsidP="00EE190C">
      <w:pPr>
        <w:jc w:val="both"/>
        <w:rPr>
          <w:rFonts w:ascii="Calibri" w:hAnsi="Calibri"/>
          <w:noProof/>
        </w:rPr>
      </w:pPr>
    </w:p>
    <w:p w14:paraId="686638E3" w14:textId="66CE5CD4" w:rsidR="00B67906" w:rsidRDefault="00B67906" w:rsidP="00EE190C">
      <w:pPr>
        <w:jc w:val="both"/>
        <w:rPr>
          <w:rFonts w:ascii="Calibri" w:hAnsi="Calibri"/>
          <w:noProof/>
        </w:rPr>
      </w:pPr>
    </w:p>
    <w:p w14:paraId="283439EE" w14:textId="4550A646" w:rsidR="00B67906" w:rsidRDefault="00B67906" w:rsidP="00EE190C">
      <w:pPr>
        <w:jc w:val="both"/>
        <w:rPr>
          <w:rFonts w:ascii="Calibri" w:hAnsi="Calibri"/>
          <w:noProof/>
        </w:rPr>
      </w:pPr>
    </w:p>
    <w:p w14:paraId="550CF4A7" w14:textId="77777777" w:rsidR="00B67906" w:rsidRDefault="00B67906" w:rsidP="00EE190C">
      <w:pPr>
        <w:jc w:val="both"/>
        <w:rPr>
          <w:rFonts w:ascii="Calibri" w:hAnsi="Calibri"/>
          <w:noProof/>
        </w:rPr>
      </w:pPr>
    </w:p>
    <w:p w14:paraId="7C49ABB0" w14:textId="77777777" w:rsidR="00B67906" w:rsidRPr="00EE190C" w:rsidRDefault="00B67906" w:rsidP="00EE190C">
      <w:pPr>
        <w:jc w:val="both"/>
        <w:rPr>
          <w:rFonts w:ascii="Calibri" w:hAnsi="Calibri"/>
          <w:sz w:val="18"/>
          <w:szCs w:val="18"/>
        </w:rPr>
      </w:pPr>
    </w:p>
    <w:p w14:paraId="3B0C5737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637AA362" w14:textId="3540734C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624C817F" w14:textId="77777777" w:rsidR="00543BB7" w:rsidRDefault="00543BB7" w:rsidP="00EE190C">
      <w:pPr>
        <w:jc w:val="both"/>
        <w:rPr>
          <w:rFonts w:ascii="Calibri" w:hAnsi="Calibri"/>
          <w:sz w:val="20"/>
          <w:szCs w:val="20"/>
        </w:rPr>
      </w:pPr>
    </w:p>
    <w:tbl>
      <w:tblPr>
        <w:tblW w:w="6140" w:type="dxa"/>
        <w:tblInd w:w="14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2380"/>
        <w:gridCol w:w="2120"/>
      </w:tblGrid>
      <w:tr w:rsidR="00EE190C" w14:paraId="53485C00" w14:textId="77777777" w:rsidTr="0083057A">
        <w:trPr>
          <w:trHeight w:val="4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72DACE99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8"/>
                <w:szCs w:val="28"/>
              </w:rPr>
            </w:pPr>
            <w:r>
              <w:rPr>
                <w:rFonts w:ascii="BankGothic Md BT" w:hAnsi="BankGothic Md BT"/>
                <w:color w:val="FFFFFF"/>
                <w:sz w:val="28"/>
                <w:szCs w:val="28"/>
              </w:rPr>
              <w:t>Modèles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4F34C848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2"/>
                <w:szCs w:val="22"/>
              </w:rPr>
            </w:pPr>
            <w:r>
              <w:rPr>
                <w:rFonts w:ascii="BankGothic Md BT" w:hAnsi="BankGothic Md BT"/>
                <w:color w:val="FFFFFF"/>
                <w:sz w:val="22"/>
                <w:szCs w:val="22"/>
              </w:rPr>
              <w:t xml:space="preserve">Débit Calorifique Nominal (kW </w:t>
            </w:r>
            <w:proofErr w:type="spellStart"/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pci</w:t>
            </w:r>
            <w:proofErr w:type="spellEnd"/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E97132" w:themeFill="accent2"/>
            <w:vAlign w:val="center"/>
            <w:hideMark/>
          </w:tcPr>
          <w:p w14:paraId="36F44002" w14:textId="77777777" w:rsidR="00EE190C" w:rsidRDefault="00EE190C" w:rsidP="003514A6">
            <w:pPr>
              <w:jc w:val="center"/>
              <w:rPr>
                <w:rFonts w:ascii="BankGothic Md BT" w:hAnsi="BankGothic Md BT"/>
                <w:color w:val="FFFFFF"/>
                <w:sz w:val="22"/>
                <w:szCs w:val="22"/>
              </w:rPr>
            </w:pPr>
            <w:r>
              <w:rPr>
                <w:rFonts w:ascii="BankGothic Md BT" w:hAnsi="BankGothic Md BT"/>
                <w:color w:val="FFFFFF"/>
                <w:sz w:val="22"/>
                <w:szCs w:val="22"/>
              </w:rPr>
              <w:t>Dimensions (mm)</w:t>
            </w:r>
          </w:p>
        </w:tc>
      </w:tr>
      <w:tr w:rsidR="00EE190C" w14:paraId="4BBDC30C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E4C96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SX+15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4BCCCF23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3357D8" w14:textId="6FA22CD5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  <w:r w:rsidR="002B5E6C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328</w:t>
            </w:r>
          </w:p>
        </w:tc>
      </w:tr>
      <w:tr w:rsidR="00EE190C" w14:paraId="315C0C20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9F08B6F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SX+25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2C2206A1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0651825" w14:textId="3B9EE7BB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2B5E6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328</w:t>
            </w:r>
          </w:p>
        </w:tc>
      </w:tr>
      <w:tr w:rsidR="00EE190C" w14:paraId="1B6F86FB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9E272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SX+30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3480F972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26,3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E4F92" w14:textId="5A2CD09E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  <w:r w:rsidR="002B5E6C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414</w:t>
            </w:r>
          </w:p>
        </w:tc>
      </w:tr>
      <w:tr w:rsidR="00EE190C" w14:paraId="4C9C5F01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9A1717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SX+35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527480E8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31,1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A821CEC" w14:textId="044C1585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2B5E6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414</w:t>
            </w:r>
          </w:p>
        </w:tc>
      </w:tr>
      <w:tr w:rsidR="00EE190C" w14:paraId="079E6D34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577F7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SX+45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550806F6" w14:textId="299FECD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38</w:t>
            </w:r>
            <w:r w:rsidR="004C2E5C">
              <w:rPr>
                <w:rFonts w:ascii="Calibri" w:hAnsi="Calibri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FE91B" w14:textId="75E233CE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  <w:r w:rsidR="002B5E6C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>997</w:t>
            </w:r>
          </w:p>
        </w:tc>
      </w:tr>
      <w:tr w:rsidR="00EE190C" w14:paraId="2D61AA35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3D026CD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SX+50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D9D9D9"/>
            <w:vAlign w:val="center"/>
            <w:hideMark/>
          </w:tcPr>
          <w:p w14:paraId="436D682E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42,3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7428127" w14:textId="01EA514A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2B5E6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997</w:t>
            </w:r>
          </w:p>
        </w:tc>
      </w:tr>
      <w:tr w:rsidR="00EE190C" w14:paraId="64D54046" w14:textId="77777777" w:rsidTr="003514A6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B8275" w14:textId="7777777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SX+60</w:t>
            </w:r>
          </w:p>
        </w:tc>
        <w:tc>
          <w:tcPr>
            <w:tcW w:w="238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14:paraId="185875C2" w14:textId="7BC93247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54</w:t>
            </w:r>
            <w:r w:rsidR="004C2E5C">
              <w:rPr>
                <w:rFonts w:ascii="Calibri" w:hAnsi="Calibri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A503F" w14:textId="153D2348" w:rsidR="00EE190C" w:rsidRDefault="00EE190C" w:rsidP="003514A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="002B5E6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967</w:t>
            </w:r>
          </w:p>
        </w:tc>
      </w:tr>
    </w:tbl>
    <w:p w14:paraId="640FB0E4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9021782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04CB9A7" w14:textId="565995D2" w:rsidR="00EE190C" w:rsidRPr="0083057A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83057A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Conception et performances</w:t>
      </w:r>
    </w:p>
    <w:p w14:paraId="4A7B3D4B" w14:textId="77777777" w:rsidR="00EE190C" w:rsidRPr="00E35E40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4EB4960" w14:textId="6442430A" w:rsidR="00EE190C" w:rsidRPr="00E35E40" w:rsidRDefault="00EE190C" w:rsidP="00EE190C">
      <w:pPr>
        <w:numPr>
          <w:ilvl w:val="0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  <w:u w:val="single"/>
        </w:rPr>
        <w:t xml:space="preserve">Eléments </w:t>
      </w:r>
      <w:r w:rsidR="00124827" w:rsidRPr="00E35E40">
        <w:rPr>
          <w:rFonts w:ascii="Calibri" w:hAnsi="Calibri"/>
          <w:sz w:val="20"/>
          <w:szCs w:val="20"/>
          <w:u w:val="single"/>
        </w:rPr>
        <w:t>fonctionnels</w:t>
      </w:r>
      <w:r w:rsidR="00124827" w:rsidRPr="00E35E40">
        <w:rPr>
          <w:rFonts w:ascii="Calibri" w:hAnsi="Calibri"/>
          <w:sz w:val="20"/>
          <w:szCs w:val="20"/>
        </w:rPr>
        <w:t xml:space="preserve"> :</w:t>
      </w:r>
    </w:p>
    <w:p w14:paraId="016ACDA2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Ensemble brûleur : </w:t>
      </w:r>
    </w:p>
    <w:p w14:paraId="795F66BC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Brûleur atmosphérique en fonte d’acier avec accroche flamme en acier inoxydable et dispositif de centrage de la flamme</w:t>
      </w:r>
    </w:p>
    <w:p w14:paraId="5BF544EA" w14:textId="2F17AB9A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Electrovanne gaz à double clapet avec ouverture progressive, ensemble combiné électrovanne-boîtier électronique</w:t>
      </w:r>
    </w:p>
    <w:p w14:paraId="6B61ABBB" w14:textId="77777777" w:rsidR="00EE190C" w:rsidRPr="00AD04A8" w:rsidRDefault="00EE190C" w:rsidP="00EE190C">
      <w:pPr>
        <w:numPr>
          <w:ilvl w:val="2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>Système exclusif de capot monté sur charnières avec accès direct aux éléments fonctionnels</w:t>
      </w:r>
    </w:p>
    <w:p w14:paraId="1D062643" w14:textId="77777777" w:rsidR="00EE190C" w:rsidRPr="00AD04A8" w:rsidRDefault="00EE190C" w:rsidP="00EE190C">
      <w:pPr>
        <w:numPr>
          <w:ilvl w:val="2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>Prises de pression pour réglages et mises en service pré-équipées avec raccord laiton et tube silicone pour le réglage des pressions gaz et de la dépression brûleur</w:t>
      </w:r>
    </w:p>
    <w:p w14:paraId="0FF69F9A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Voyants lumineux situés sur la face inférieure de l’appareil</w:t>
      </w:r>
    </w:p>
    <w:p w14:paraId="03558076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Ensemble brûleur indépendant facilitant le démontage pour les opérations de maintenance      </w:t>
      </w:r>
    </w:p>
    <w:p w14:paraId="022DD41C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Extraction des produits de combustion :</w:t>
      </w:r>
    </w:p>
    <w:p w14:paraId="332EF437" w14:textId="11F03B4E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Ensemble extracteur orientable et indépendant facilitant le démontage</w:t>
      </w:r>
    </w:p>
    <w:p w14:paraId="2B5BA4BF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Groupe moto ventilateur externe avec turbine et hélice de refroidissement intégrées pour un meilleur refroidissement (fiabilité) et une accessibilité aisée</w:t>
      </w:r>
    </w:p>
    <w:p w14:paraId="75CBF7CB" w14:textId="77777777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Moteur spécial à graissage et refroidissement permanents avec roulements à billes pour fortes charges</w:t>
      </w:r>
    </w:p>
    <w:p w14:paraId="2CEE20BB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66A74AF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D0B33BD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31CCD585" w14:textId="04BC0E31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367DE4C7" w14:textId="77777777" w:rsidR="00124827" w:rsidRDefault="00124827" w:rsidP="00EE190C">
      <w:pPr>
        <w:jc w:val="both"/>
        <w:rPr>
          <w:rFonts w:ascii="Calibri" w:hAnsi="Calibri"/>
          <w:sz w:val="20"/>
          <w:szCs w:val="20"/>
        </w:rPr>
      </w:pPr>
    </w:p>
    <w:p w14:paraId="5DD548B9" w14:textId="77777777" w:rsidR="00543BB7" w:rsidRDefault="00543BB7" w:rsidP="00EE190C">
      <w:pPr>
        <w:jc w:val="both"/>
        <w:rPr>
          <w:rFonts w:ascii="Calibri" w:hAnsi="Calibri"/>
          <w:sz w:val="20"/>
          <w:szCs w:val="20"/>
        </w:rPr>
      </w:pPr>
    </w:p>
    <w:p w14:paraId="0D75A69C" w14:textId="77777777" w:rsidR="00EE190C" w:rsidRPr="00E35E40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7585630B" w14:textId="16BE77BE" w:rsidR="00EE190C" w:rsidRPr="00E35E40" w:rsidRDefault="00EE190C" w:rsidP="00EE190C">
      <w:pPr>
        <w:numPr>
          <w:ilvl w:val="0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  <w:u w:val="single"/>
        </w:rPr>
        <w:t>Partie émettrice</w:t>
      </w:r>
      <w:r w:rsidR="00124827">
        <w:rPr>
          <w:rFonts w:ascii="Calibri" w:hAnsi="Calibri"/>
          <w:sz w:val="20"/>
          <w:szCs w:val="20"/>
          <w:u w:val="single"/>
        </w:rPr>
        <w:t xml:space="preserve"> </w:t>
      </w:r>
      <w:r w:rsidRPr="00E35E40">
        <w:rPr>
          <w:rFonts w:ascii="Calibri" w:hAnsi="Calibri"/>
          <w:sz w:val="20"/>
          <w:szCs w:val="20"/>
        </w:rPr>
        <w:t>:</w:t>
      </w:r>
      <w:r w:rsidR="00CA6BDE" w:rsidRPr="00CA6BDE">
        <w:t xml:space="preserve"> </w:t>
      </w:r>
    </w:p>
    <w:p w14:paraId="19359BED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Tubes émetteurs :</w:t>
      </w:r>
    </w:p>
    <w:p w14:paraId="38ABA18C" w14:textId="5210CF8E" w:rsidR="00EE190C" w:rsidRPr="00124827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>Ø76,2mm pour les modèles 15-25 et Ø101,6mm pour les modèles 30-</w:t>
      </w:r>
      <w:r w:rsidR="00124827" w:rsidRPr="00124827">
        <w:rPr>
          <w:rFonts w:ascii="Calibri" w:hAnsi="Calibri"/>
          <w:sz w:val="20"/>
          <w:szCs w:val="20"/>
        </w:rPr>
        <w:t>6</w:t>
      </w:r>
      <w:r w:rsidRPr="00124827">
        <w:rPr>
          <w:rFonts w:ascii="Calibri" w:hAnsi="Calibri"/>
          <w:sz w:val="20"/>
          <w:szCs w:val="20"/>
        </w:rPr>
        <w:t xml:space="preserve">0 </w:t>
      </w:r>
    </w:p>
    <w:p w14:paraId="2B615885" w14:textId="69F75B2B" w:rsidR="00EE190C" w:rsidRPr="00E35E40" w:rsidRDefault="00EE190C" w:rsidP="00EE190C">
      <w:pPr>
        <w:numPr>
          <w:ilvl w:val="2"/>
          <w:numId w:val="1"/>
        </w:numPr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Pour tous les </w:t>
      </w:r>
      <w:r w:rsidRPr="00E35E40">
        <w:rPr>
          <w:rFonts w:ascii="Calibri" w:hAnsi="Calibri"/>
          <w:sz w:val="20"/>
          <w:szCs w:val="20"/>
        </w:rPr>
        <w:t>modèles</w:t>
      </w:r>
      <w:r w:rsidR="00124827">
        <w:rPr>
          <w:rFonts w:ascii="Calibri" w:hAnsi="Calibri"/>
          <w:sz w:val="20"/>
          <w:szCs w:val="20"/>
        </w:rPr>
        <w:t xml:space="preserve"> </w:t>
      </w:r>
      <w:r w:rsidRPr="00E35E40">
        <w:rPr>
          <w:rFonts w:ascii="Calibri" w:hAnsi="Calibri"/>
          <w:sz w:val="20"/>
          <w:szCs w:val="20"/>
        </w:rPr>
        <w:t xml:space="preserve">: </w:t>
      </w:r>
      <w:r w:rsidRPr="00AD04A8">
        <w:rPr>
          <w:rFonts w:ascii="Calibri" w:hAnsi="Calibri"/>
          <w:b/>
          <w:sz w:val="20"/>
          <w:szCs w:val="20"/>
        </w:rPr>
        <w:t>tubes émetteurs 100% calorisés anticorrosion et haut rendement de rayonnement (émissivité supérieure à 30% par rapport à un tube classique)</w:t>
      </w:r>
    </w:p>
    <w:p w14:paraId="508DA5EE" w14:textId="35E5D648" w:rsidR="00EE190C" w:rsidRPr="00FF3E7B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proofErr w:type="spellStart"/>
      <w:r w:rsidRPr="00FF3E7B">
        <w:rPr>
          <w:rFonts w:ascii="Calibri" w:hAnsi="Calibri"/>
          <w:b/>
          <w:sz w:val="20"/>
          <w:szCs w:val="20"/>
        </w:rPr>
        <w:t>Turbulateur</w:t>
      </w:r>
      <w:r>
        <w:rPr>
          <w:rFonts w:ascii="Calibri" w:hAnsi="Calibri"/>
          <w:b/>
          <w:sz w:val="20"/>
          <w:szCs w:val="20"/>
        </w:rPr>
        <w:t>s</w:t>
      </w:r>
      <w:proofErr w:type="spellEnd"/>
      <w:r w:rsidRPr="00FF3E7B">
        <w:rPr>
          <w:rFonts w:ascii="Calibri" w:hAnsi="Calibri"/>
          <w:b/>
          <w:sz w:val="20"/>
          <w:szCs w:val="20"/>
        </w:rPr>
        <w:t xml:space="preserve"> d’optimisation du rendement de combustion (modèles</w:t>
      </w:r>
      <w:r w:rsidR="00352540">
        <w:rPr>
          <w:rFonts w:ascii="Calibri" w:hAnsi="Calibri"/>
          <w:b/>
          <w:sz w:val="20"/>
          <w:szCs w:val="20"/>
        </w:rPr>
        <w:t xml:space="preserve"> 15,</w:t>
      </w:r>
      <w:r w:rsidRPr="00FF3E7B">
        <w:rPr>
          <w:rFonts w:ascii="Calibri" w:hAnsi="Calibri"/>
          <w:b/>
          <w:sz w:val="20"/>
          <w:szCs w:val="20"/>
        </w:rPr>
        <w:t xml:space="preserve"> 25, 30, 35, 45) </w:t>
      </w:r>
    </w:p>
    <w:p w14:paraId="65237D77" w14:textId="77777777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Raccordement des tubes aux éléments fonctionnels par des brides spéciales de type </w:t>
      </w:r>
      <w:proofErr w:type="spellStart"/>
      <w:r w:rsidRPr="00AD04A8">
        <w:rPr>
          <w:rFonts w:ascii="Calibri" w:hAnsi="Calibri"/>
          <w:b/>
          <w:sz w:val="20"/>
          <w:szCs w:val="20"/>
        </w:rPr>
        <w:t>Torcite</w:t>
      </w:r>
      <w:proofErr w:type="spellEnd"/>
      <w:r w:rsidRPr="00AD04A8">
        <w:rPr>
          <w:rFonts w:ascii="Calibri" w:hAnsi="Calibri"/>
          <w:b/>
          <w:sz w:val="20"/>
          <w:szCs w:val="20"/>
        </w:rPr>
        <w:t xml:space="preserve"> assurant une étanchéité permanente du réseau aéraulique interne de l’appareil</w:t>
      </w:r>
    </w:p>
    <w:p w14:paraId="1D912E8D" w14:textId="34F24E45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Réflecteurs en aluminium </w:t>
      </w:r>
      <w:r w:rsidR="00124827" w:rsidRPr="00AD04A8">
        <w:rPr>
          <w:rFonts w:ascii="Calibri" w:hAnsi="Calibri"/>
          <w:b/>
          <w:sz w:val="20"/>
          <w:szCs w:val="20"/>
        </w:rPr>
        <w:t xml:space="preserve">poli </w:t>
      </w:r>
      <w:r w:rsidR="00124827">
        <w:rPr>
          <w:rFonts w:ascii="Calibri" w:hAnsi="Calibri"/>
          <w:b/>
          <w:sz w:val="20"/>
          <w:szCs w:val="20"/>
        </w:rPr>
        <w:t xml:space="preserve">en forme de M </w:t>
      </w:r>
      <w:r w:rsidRPr="00AD04A8">
        <w:rPr>
          <w:rFonts w:ascii="Calibri" w:hAnsi="Calibri"/>
          <w:b/>
          <w:sz w:val="20"/>
          <w:szCs w:val="20"/>
        </w:rPr>
        <w:t>assurant un coefficient de réflexion de 97%</w:t>
      </w:r>
    </w:p>
    <w:p w14:paraId="65B39569" w14:textId="4CB633E8" w:rsidR="00EE190C" w:rsidRPr="00AD04A8" w:rsidRDefault="00EE190C" w:rsidP="00EE190C">
      <w:pPr>
        <w:numPr>
          <w:ilvl w:val="1"/>
          <w:numId w:val="1"/>
        </w:numPr>
        <w:jc w:val="both"/>
        <w:rPr>
          <w:rFonts w:ascii="Calibri" w:hAnsi="Calibri"/>
          <w:b/>
          <w:sz w:val="20"/>
          <w:szCs w:val="20"/>
        </w:rPr>
      </w:pPr>
      <w:r w:rsidRPr="00AD04A8">
        <w:rPr>
          <w:rFonts w:ascii="Calibri" w:hAnsi="Calibri"/>
          <w:b/>
          <w:sz w:val="20"/>
          <w:szCs w:val="20"/>
        </w:rPr>
        <w:t xml:space="preserve">Plaques spéciales de confinement des extrémités des réflecteurs (augmentation du rendement de rayonnement par l’augmentation de la partie utile rayonnée au dépend de la partie convective) </w:t>
      </w:r>
    </w:p>
    <w:p w14:paraId="79491CD7" w14:textId="7FE646F9" w:rsidR="00543BB7" w:rsidRPr="00EE7A77" w:rsidRDefault="00543BB7" w:rsidP="00543BB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E7A77">
        <w:rPr>
          <w:rFonts w:ascii="Calibri" w:hAnsi="Calibri"/>
          <w:sz w:val="20"/>
          <w:szCs w:val="20"/>
        </w:rPr>
        <w:t xml:space="preserve">Suspension directe sur les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 xml:space="preserve"> de suspension fournis avec l’appareil : SX+15</w:t>
      </w:r>
      <w:r w:rsidR="00EE7A77" w:rsidRPr="00EE7A77">
        <w:rPr>
          <w:rFonts w:ascii="Calibri" w:hAnsi="Calibri"/>
          <w:sz w:val="20"/>
          <w:szCs w:val="20"/>
        </w:rPr>
        <w:t>-35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EE7A77" w:rsidRPr="00EE7A77">
        <w:rPr>
          <w:rFonts w:ascii="Calibri" w:hAnsi="Calibri"/>
          <w:sz w:val="20"/>
          <w:szCs w:val="20"/>
        </w:rPr>
        <w:t>3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>, SX+</w:t>
      </w:r>
      <w:r w:rsidR="00EE7A77" w:rsidRPr="00EE7A77">
        <w:rPr>
          <w:rFonts w:ascii="Calibri" w:hAnsi="Calibri"/>
          <w:sz w:val="20"/>
          <w:szCs w:val="20"/>
        </w:rPr>
        <w:t>40-50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EE7A77" w:rsidRPr="00EE7A77">
        <w:rPr>
          <w:rFonts w:ascii="Calibri" w:hAnsi="Calibri"/>
          <w:sz w:val="20"/>
          <w:szCs w:val="20"/>
        </w:rPr>
        <w:t>4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  <w:r w:rsidRPr="00EE7A77">
        <w:rPr>
          <w:rFonts w:ascii="Calibri" w:hAnsi="Calibri"/>
          <w:sz w:val="20"/>
          <w:szCs w:val="20"/>
        </w:rPr>
        <w:t>, SX+</w:t>
      </w:r>
      <w:r w:rsidR="00EE7A77" w:rsidRPr="00EE7A77">
        <w:rPr>
          <w:rFonts w:ascii="Calibri" w:hAnsi="Calibri"/>
          <w:sz w:val="20"/>
          <w:szCs w:val="20"/>
        </w:rPr>
        <w:t>60</w:t>
      </w:r>
      <w:r w:rsidRPr="00EE7A77">
        <w:rPr>
          <w:rFonts w:ascii="Calibri" w:hAnsi="Calibri"/>
          <w:sz w:val="20"/>
          <w:szCs w:val="20"/>
        </w:rPr>
        <w:t xml:space="preserve"> </w:t>
      </w:r>
      <w:r w:rsidR="00EE7A77" w:rsidRPr="00EE7A77">
        <w:rPr>
          <w:rFonts w:ascii="Calibri" w:hAnsi="Calibri"/>
          <w:sz w:val="20"/>
          <w:szCs w:val="20"/>
        </w:rPr>
        <w:t>5</w:t>
      </w:r>
      <w:r w:rsidRPr="00EE7A77">
        <w:rPr>
          <w:rFonts w:ascii="Calibri" w:hAnsi="Calibri"/>
          <w:sz w:val="20"/>
          <w:szCs w:val="20"/>
        </w:rPr>
        <w:t xml:space="preserve"> </w:t>
      </w:r>
      <w:proofErr w:type="spellStart"/>
      <w:r w:rsidRPr="00EE7A77">
        <w:rPr>
          <w:rFonts w:ascii="Calibri" w:hAnsi="Calibri"/>
          <w:sz w:val="20"/>
          <w:szCs w:val="20"/>
        </w:rPr>
        <w:t>brackets</w:t>
      </w:r>
      <w:proofErr w:type="spellEnd"/>
    </w:p>
    <w:p w14:paraId="5114C0C8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 xml:space="preserve">Système d’absorption de la dilatation des tubes émetteurs et coulissement des réflecteurs afin d‘éviter toute déformation de la structure       </w:t>
      </w:r>
    </w:p>
    <w:p w14:paraId="106EDD9B" w14:textId="50A032DC" w:rsidR="00EE190C" w:rsidRPr="00124827" w:rsidRDefault="00EE190C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>Coude en fonte d’acier intégré au réflecteur</w:t>
      </w:r>
      <w:r w:rsidR="00124827" w:rsidRPr="00124827">
        <w:rPr>
          <w:rFonts w:ascii="Calibri" w:hAnsi="Calibri"/>
          <w:sz w:val="20"/>
          <w:szCs w:val="20"/>
        </w:rPr>
        <w:t xml:space="preserve"> avec un </w:t>
      </w:r>
      <w:r w:rsidR="00124827" w:rsidRPr="004C2E5C">
        <w:rPr>
          <w:rFonts w:ascii="Calibri" w:hAnsi="Calibri"/>
          <w:b/>
          <w:bCs/>
          <w:sz w:val="20"/>
          <w:szCs w:val="20"/>
        </w:rPr>
        <w:t xml:space="preserve">réflecteur </w:t>
      </w:r>
      <w:r w:rsidR="004C2E5C" w:rsidRPr="004C2E5C">
        <w:rPr>
          <w:rFonts w:ascii="Calibri" w:hAnsi="Calibri"/>
          <w:b/>
          <w:bCs/>
          <w:sz w:val="20"/>
          <w:szCs w:val="20"/>
        </w:rPr>
        <w:t>additionnel</w:t>
      </w:r>
      <w:r w:rsidR="004C2E5C">
        <w:rPr>
          <w:rFonts w:ascii="Calibri" w:hAnsi="Calibri"/>
          <w:sz w:val="20"/>
          <w:szCs w:val="20"/>
        </w:rPr>
        <w:t xml:space="preserve"> qui permet l’optimisation du rayonnement</w:t>
      </w:r>
    </w:p>
    <w:p w14:paraId="08383058" w14:textId="77777777" w:rsidR="00EE190C" w:rsidRPr="0083057A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83057A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Systèmes de sécurité</w:t>
      </w:r>
    </w:p>
    <w:p w14:paraId="6EA359D0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Allumage électronique direct et contrôle de flamme permanent par électrode d’ionisation</w:t>
      </w:r>
    </w:p>
    <w:p w14:paraId="0BB96319" w14:textId="77777777" w:rsidR="00EE190C" w:rsidRPr="00E35E40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E35E40">
        <w:rPr>
          <w:rFonts w:ascii="Calibri" w:hAnsi="Calibri"/>
          <w:sz w:val="20"/>
          <w:szCs w:val="20"/>
        </w:rPr>
        <w:t>Contrôle permanent du réseau aéraulique d’extraction par un pressostat différentiel</w:t>
      </w:r>
    </w:p>
    <w:p w14:paraId="621B6429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4FDE6DEF" w14:textId="77777777" w:rsidR="00EE190C" w:rsidRPr="0083057A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83057A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Schémas de principe à insérer dans les CCTP</w:t>
      </w:r>
    </w:p>
    <w:p w14:paraId="149E96EA" w14:textId="77777777" w:rsidR="00124827" w:rsidRPr="0038522A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38522A">
        <w:rPr>
          <w:rFonts w:ascii="Calibri" w:hAnsi="Calibri"/>
          <w:sz w:val="20"/>
          <w:szCs w:val="20"/>
        </w:rPr>
        <w:t>Schémas dimensionnels (voir notice SX+ Section II page 4)</w:t>
      </w:r>
    </w:p>
    <w:p w14:paraId="23104DCD" w14:textId="77777777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 xml:space="preserve">Accrochage et suspension (voir notice SX+ Section IV.2 pages 11-14) </w:t>
      </w:r>
    </w:p>
    <w:p w14:paraId="43856D31" w14:textId="77777777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 xml:space="preserve">Raccordement gaz et kit gaz : (voir notice section IV.3.2. </w:t>
      </w:r>
      <w:proofErr w:type="gramStart"/>
      <w:r w:rsidRPr="0041715D">
        <w:rPr>
          <w:rFonts w:ascii="Calibri" w:hAnsi="Calibri"/>
          <w:sz w:val="20"/>
          <w:szCs w:val="20"/>
        </w:rPr>
        <w:t>pages</w:t>
      </w:r>
      <w:proofErr w:type="gramEnd"/>
      <w:r w:rsidRPr="0041715D">
        <w:rPr>
          <w:rFonts w:ascii="Calibri" w:hAnsi="Calibri"/>
          <w:sz w:val="20"/>
          <w:szCs w:val="20"/>
        </w:rPr>
        <w:t xml:space="preserve"> 14-15, schéma 18) </w:t>
      </w:r>
    </w:p>
    <w:p w14:paraId="70BAC1B8" w14:textId="77777777" w:rsidR="00124827" w:rsidRPr="0041715D" w:rsidRDefault="00124827" w:rsidP="00124827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41715D">
        <w:rPr>
          <w:rFonts w:ascii="Calibri" w:hAnsi="Calibri"/>
          <w:sz w:val="20"/>
          <w:szCs w:val="20"/>
        </w:rPr>
        <w:t>Evacuation des produits de combustion (voir notice section IV.6 pages 20-25)</w:t>
      </w:r>
    </w:p>
    <w:p w14:paraId="33BC5BF6" w14:textId="77777777" w:rsidR="00EE190C" w:rsidRPr="0083057A" w:rsidRDefault="00EE190C" w:rsidP="00EE190C">
      <w:pPr>
        <w:jc w:val="both"/>
        <w:rPr>
          <w:rFonts w:ascii="Calibri" w:hAnsi="Calibri"/>
          <w:color w:val="E97132" w:themeColor="accent2"/>
          <w:sz w:val="20"/>
          <w:szCs w:val="20"/>
        </w:rPr>
      </w:pPr>
    </w:p>
    <w:p w14:paraId="5C20BE90" w14:textId="77777777" w:rsidR="00EE190C" w:rsidRPr="0083057A" w:rsidRDefault="00EE190C" w:rsidP="00EE190C">
      <w:pPr>
        <w:numPr>
          <w:ilvl w:val="0"/>
          <w:numId w:val="1"/>
        </w:numPr>
        <w:jc w:val="both"/>
        <w:rPr>
          <w:rFonts w:ascii="BankGothic Md BT" w:hAnsi="BankGothic Md BT"/>
          <w:i/>
          <w:iCs/>
          <w:color w:val="E97132" w:themeColor="accent2"/>
          <w:sz w:val="32"/>
          <w:szCs w:val="32"/>
        </w:rPr>
      </w:pPr>
      <w:r w:rsidRPr="0083057A">
        <w:rPr>
          <w:rFonts w:ascii="BankGothic Md BT" w:hAnsi="BankGothic Md BT"/>
          <w:i/>
          <w:iCs/>
          <w:color w:val="E97132" w:themeColor="accent2"/>
          <w:sz w:val="32"/>
          <w:szCs w:val="32"/>
        </w:rPr>
        <w:t>Autres gammes disponibles</w:t>
      </w:r>
    </w:p>
    <w:p w14:paraId="6F3B7E1D" w14:textId="77777777" w:rsidR="00EE190C" w:rsidRPr="00124827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 xml:space="preserve">Tubes radiants linéaires : SXL + </w:t>
      </w:r>
    </w:p>
    <w:p w14:paraId="58621CA3" w14:textId="2C3ECBB6" w:rsidR="00EE190C" w:rsidRPr="00124827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 xml:space="preserve">Tubes radiants Hauts Rendements de </w:t>
      </w:r>
      <w:r w:rsidR="00124827" w:rsidRPr="00124827">
        <w:rPr>
          <w:rFonts w:ascii="Calibri" w:hAnsi="Calibri"/>
          <w:sz w:val="20"/>
          <w:szCs w:val="20"/>
        </w:rPr>
        <w:t>rayonnement :</w:t>
      </w:r>
      <w:r w:rsidRPr="00124827">
        <w:rPr>
          <w:rFonts w:ascii="Calibri" w:hAnsi="Calibri"/>
          <w:sz w:val="20"/>
          <w:szCs w:val="20"/>
        </w:rPr>
        <w:t xml:space="preserve"> SXA,</w:t>
      </w:r>
      <w:r w:rsidR="00B67906">
        <w:rPr>
          <w:rFonts w:ascii="Calibri" w:hAnsi="Calibri"/>
          <w:sz w:val="20"/>
          <w:szCs w:val="20"/>
        </w:rPr>
        <w:t xml:space="preserve"> </w:t>
      </w:r>
      <w:r w:rsidRPr="00124827">
        <w:rPr>
          <w:rFonts w:ascii="Calibri" w:hAnsi="Calibri"/>
          <w:sz w:val="20"/>
          <w:szCs w:val="20"/>
        </w:rPr>
        <w:t xml:space="preserve">SXLA </w:t>
      </w:r>
    </w:p>
    <w:p w14:paraId="46F18E07" w14:textId="77777777" w:rsidR="00EE190C" w:rsidRDefault="00EE190C" w:rsidP="00EE190C">
      <w:pPr>
        <w:numPr>
          <w:ilvl w:val="1"/>
          <w:numId w:val="1"/>
        </w:numPr>
        <w:jc w:val="both"/>
        <w:rPr>
          <w:rFonts w:ascii="Calibri" w:hAnsi="Calibri"/>
          <w:sz w:val="20"/>
          <w:szCs w:val="20"/>
        </w:rPr>
      </w:pPr>
      <w:r w:rsidRPr="00124827">
        <w:rPr>
          <w:rFonts w:ascii="Calibri" w:hAnsi="Calibri"/>
          <w:sz w:val="20"/>
          <w:szCs w:val="20"/>
        </w:rPr>
        <w:t>Système</w:t>
      </w:r>
      <w:r w:rsidRPr="00E35E40">
        <w:rPr>
          <w:rFonts w:ascii="Calibri" w:hAnsi="Calibri"/>
          <w:sz w:val="20"/>
          <w:szCs w:val="20"/>
        </w:rPr>
        <w:t xml:space="preserve"> en ar</w:t>
      </w:r>
      <w:r>
        <w:rPr>
          <w:rFonts w:ascii="Calibri" w:hAnsi="Calibri"/>
          <w:sz w:val="20"/>
          <w:szCs w:val="20"/>
        </w:rPr>
        <w:t>rête (évacuation centralisée) SX+ HB et S</w:t>
      </w:r>
      <w:r w:rsidRPr="00E35E40">
        <w:rPr>
          <w:rFonts w:ascii="Calibri" w:hAnsi="Calibri"/>
          <w:sz w:val="20"/>
          <w:szCs w:val="20"/>
        </w:rPr>
        <w:t>XL</w:t>
      </w:r>
      <w:r>
        <w:rPr>
          <w:rFonts w:ascii="Calibri" w:hAnsi="Calibri"/>
          <w:sz w:val="20"/>
          <w:szCs w:val="20"/>
        </w:rPr>
        <w:t>+ HB</w:t>
      </w:r>
    </w:p>
    <w:p w14:paraId="3BE28333" w14:textId="77777777" w:rsidR="00EE190C" w:rsidRDefault="00EE190C" w:rsidP="00EE190C">
      <w:pPr>
        <w:jc w:val="both"/>
        <w:rPr>
          <w:rFonts w:ascii="Calibri" w:hAnsi="Calibri"/>
          <w:sz w:val="20"/>
          <w:szCs w:val="20"/>
        </w:rPr>
      </w:pPr>
    </w:p>
    <w:p w14:paraId="085BCDF8" w14:textId="77777777" w:rsidR="00EE190C" w:rsidRDefault="00EE190C"/>
    <w:sectPr w:rsidR="00EE190C" w:rsidSect="00120483">
      <w:headerReference w:type="default" r:id="rId13"/>
      <w:footerReference w:type="default" r:id="rId14"/>
      <w:pgSz w:w="11906" w:h="16838"/>
      <w:pgMar w:top="1418" w:right="851" w:bottom="1418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4DB70" w14:textId="77777777" w:rsidR="00F15D50" w:rsidRDefault="00F15D50">
      <w:r>
        <w:separator/>
      </w:r>
    </w:p>
  </w:endnote>
  <w:endnote w:type="continuationSeparator" w:id="0">
    <w:p w14:paraId="5E8350EB" w14:textId="77777777" w:rsidR="00F15D50" w:rsidRDefault="00F15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nkGothic Md BT">
    <w:panose1 w:val="020B0807020203060204"/>
    <w:charset w:val="00"/>
    <w:family w:val="swiss"/>
    <w:pitch w:val="variable"/>
    <w:sig w:usb0="800000AF" w:usb1="1000204A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6E7D8" w14:textId="77777777" w:rsidR="00120483" w:rsidRPr="000D4B7A" w:rsidRDefault="00120483" w:rsidP="00120483">
    <w:pPr>
      <w:pStyle w:val="Pieddepage"/>
      <w:jc w:val="cen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Descriptif CCTP</w:t>
    </w:r>
    <w:r w:rsidRPr="000D4B7A">
      <w:rPr>
        <w:rFonts w:ascii="Calibri" w:hAnsi="Calibri" w:cs="Calibri"/>
        <w:sz w:val="22"/>
        <w:szCs w:val="22"/>
      </w:rPr>
      <w:t xml:space="preserve"> – </w:t>
    </w:r>
    <w:r>
      <w:rPr>
        <w:rFonts w:ascii="Calibri" w:hAnsi="Calibri" w:cs="Calibri"/>
        <w:sz w:val="22"/>
        <w:szCs w:val="22"/>
      </w:rPr>
      <w:t>Octo</w:t>
    </w:r>
    <w:r w:rsidRPr="000D4B7A">
      <w:rPr>
        <w:rFonts w:ascii="Calibri" w:hAnsi="Calibri" w:cs="Calibri"/>
        <w:sz w:val="22"/>
        <w:szCs w:val="22"/>
      </w:rPr>
      <w:t>bre 2026</w:t>
    </w:r>
  </w:p>
  <w:p w14:paraId="06490C3C" w14:textId="77777777" w:rsidR="00120483" w:rsidRDefault="00120483" w:rsidP="00120483">
    <w:pPr>
      <w:pStyle w:val="Pieddepage"/>
      <w:jc w:val="center"/>
      <w:rPr>
        <w:rFonts w:ascii="Calibri" w:hAnsi="Calibri" w:cs="Calibri"/>
        <w:sz w:val="22"/>
        <w:szCs w:val="22"/>
      </w:rPr>
    </w:pPr>
    <w:r w:rsidRPr="000D4B7A">
      <w:rPr>
        <w:rFonts w:ascii="Calibri" w:hAnsi="Calibri" w:cs="Calibri"/>
        <w:sz w:val="22"/>
        <w:szCs w:val="22"/>
      </w:rPr>
      <w:t xml:space="preserve">EXELTEC - 215 Rue Marie Curie - Technoparc Saône Vallée Est - 01390 CIVRIEUX </w:t>
    </w:r>
  </w:p>
  <w:p w14:paraId="3B670734" w14:textId="77777777" w:rsidR="00120483" w:rsidRPr="000D4B7A" w:rsidRDefault="00120483" w:rsidP="00120483">
    <w:pPr>
      <w:pStyle w:val="Pieddepage"/>
      <w:jc w:val="center"/>
      <w:rPr>
        <w:rFonts w:ascii="Calibri" w:hAnsi="Calibri" w:cs="Calibri"/>
        <w:sz w:val="22"/>
        <w:szCs w:val="22"/>
      </w:rPr>
    </w:pPr>
    <w:hyperlink r:id="rId1" w:history="1">
      <w:r w:rsidRPr="002C3E0D">
        <w:rPr>
          <w:rStyle w:val="Lienhypertexte"/>
          <w:rFonts w:ascii="Calibri" w:hAnsi="Calibri" w:cs="Calibri"/>
          <w:sz w:val="22"/>
          <w:szCs w:val="22"/>
        </w:rPr>
        <w:t>www.exeltec.fr</w:t>
      </w:r>
    </w:hyperlink>
    <w:r w:rsidRPr="000D4B7A">
      <w:rPr>
        <w:rFonts w:ascii="Calibri" w:hAnsi="Calibri" w:cs="Calibri"/>
        <w:sz w:val="22"/>
        <w:szCs w:val="22"/>
      </w:rPr>
      <w:t xml:space="preserve"> </w:t>
    </w:r>
    <w:r>
      <w:rPr>
        <w:rFonts w:ascii="Calibri" w:hAnsi="Calibri" w:cs="Calibri"/>
        <w:sz w:val="22"/>
        <w:szCs w:val="22"/>
      </w:rPr>
      <w:t xml:space="preserve">– </w:t>
    </w:r>
    <w:hyperlink r:id="rId2" w:history="1">
      <w:r w:rsidRPr="00C273C8">
        <w:rPr>
          <w:rStyle w:val="Lienhypertexte"/>
          <w:rFonts w:ascii="Calibri" w:hAnsi="Calibri" w:cs="Calibri"/>
          <w:sz w:val="22"/>
          <w:szCs w:val="22"/>
        </w:rPr>
        <w:t>info@exeltec.fr</w:t>
      </w:r>
    </w:hyperlink>
    <w:r>
      <w:rPr>
        <w:rFonts w:ascii="Calibri" w:hAnsi="Calibri" w:cs="Calibri"/>
        <w:sz w:val="22"/>
        <w:szCs w:val="22"/>
      </w:rPr>
      <w:t xml:space="preserve"> – 04 78 82 01 01</w:t>
    </w:r>
  </w:p>
  <w:p w14:paraId="7A8C3293" w14:textId="77777777" w:rsidR="00120483" w:rsidRDefault="00120483" w:rsidP="00120483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1BCD8B" wp14:editId="58A92A08">
          <wp:simplePos x="0" y="0"/>
          <wp:positionH relativeFrom="margin">
            <wp:posOffset>4938505</wp:posOffset>
          </wp:positionH>
          <wp:positionV relativeFrom="paragraph">
            <wp:posOffset>14605</wp:posOffset>
          </wp:positionV>
          <wp:extent cx="1717481" cy="171988"/>
          <wp:effectExtent l="0" t="0" r="0" b="0"/>
          <wp:wrapNone/>
          <wp:docPr id="131413015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7481" cy="17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7D25B0" w14:textId="77777777" w:rsidR="00120483" w:rsidRDefault="00120483" w:rsidP="00120483">
    <w:pPr>
      <w:pStyle w:val="Pieddepage"/>
      <w:tabs>
        <w:tab w:val="clear" w:pos="4536"/>
        <w:tab w:val="clear" w:pos="9072"/>
        <w:tab w:val="left" w:pos="3619"/>
      </w:tabs>
    </w:pPr>
  </w:p>
  <w:p w14:paraId="6FEF58D6" w14:textId="77777777" w:rsidR="00120483" w:rsidRDefault="001204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B5FB8" w14:textId="77777777" w:rsidR="00F15D50" w:rsidRDefault="00F15D50">
      <w:r>
        <w:separator/>
      </w:r>
    </w:p>
  </w:footnote>
  <w:footnote w:type="continuationSeparator" w:id="0">
    <w:p w14:paraId="01A37579" w14:textId="77777777" w:rsidR="00F15D50" w:rsidRDefault="00F15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33DE" w14:textId="77777777" w:rsidR="00EE190C" w:rsidRPr="00CD79BE" w:rsidRDefault="00EE190C" w:rsidP="00CD79BE">
    <w:pPr>
      <w:pStyle w:val="En-tte"/>
      <w:jc w:val="right"/>
      <w:rPr>
        <w:sz w:val="16"/>
        <w:szCs w:val="16"/>
      </w:rPr>
    </w:pPr>
    <w:r>
      <w:rPr>
        <w:sz w:val="16"/>
        <w:szCs w:val="16"/>
      </w:rPr>
      <w:t>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B6094"/>
    <w:multiLevelType w:val="hybridMultilevel"/>
    <w:tmpl w:val="250CBD7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24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0C"/>
    <w:rsid w:val="00015A80"/>
    <w:rsid w:val="00120483"/>
    <w:rsid w:val="00124827"/>
    <w:rsid w:val="00284D2C"/>
    <w:rsid w:val="002B5E6C"/>
    <w:rsid w:val="00352540"/>
    <w:rsid w:val="004C2E5C"/>
    <w:rsid w:val="00543BB7"/>
    <w:rsid w:val="005E1CCF"/>
    <w:rsid w:val="0083057A"/>
    <w:rsid w:val="00853394"/>
    <w:rsid w:val="00857C25"/>
    <w:rsid w:val="008A6595"/>
    <w:rsid w:val="00963193"/>
    <w:rsid w:val="00B67906"/>
    <w:rsid w:val="00BD7BE3"/>
    <w:rsid w:val="00CA6BDE"/>
    <w:rsid w:val="00DB000D"/>
    <w:rsid w:val="00DE5086"/>
    <w:rsid w:val="00EE190C"/>
    <w:rsid w:val="00EE7A77"/>
    <w:rsid w:val="00F15D50"/>
    <w:rsid w:val="00F5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1779"/>
  <w15:chartTrackingRefBased/>
  <w15:docId w15:val="{7DB242F9-C3EA-4DD2-A37B-78604D78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90C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E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19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19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19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19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19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19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19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19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19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19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19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19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19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19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19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190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EE19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E190C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204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0483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1204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info@exeltec.fr" TargetMode="External"/><Relationship Id="rId1" Type="http://schemas.openxmlformats.org/officeDocument/2006/relationships/hyperlink" Target="http://www.exeltec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2</Pages>
  <Words>506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Bayle</dc:creator>
  <cp:keywords/>
  <dc:description/>
  <cp:lastModifiedBy>Thomas Bayle</cp:lastModifiedBy>
  <cp:revision>11</cp:revision>
  <dcterms:created xsi:type="dcterms:W3CDTF">2026-10-15T09:05:00Z</dcterms:created>
  <dcterms:modified xsi:type="dcterms:W3CDTF">2026-10-28T13:13:00Z</dcterms:modified>
</cp:coreProperties>
</file>